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3C9" w:rsidRPr="000D43C9" w:rsidRDefault="000D43C9" w:rsidP="000D43C9">
      <w:pPr>
        <w:keepNext/>
        <w:keepLines/>
        <w:spacing w:before="480" w:after="0" w:line="240" w:lineRule="auto"/>
        <w:ind w:left="360"/>
        <w:jc w:val="center"/>
        <w:outlineLvl w:val="0"/>
        <w:rPr>
          <w:rFonts w:ascii="Verdana" w:eastAsia="Times New Roman" w:hAnsi="Verdana" w:cs="Times New Roman"/>
          <w:b/>
          <w:bCs/>
          <w:sz w:val="24"/>
          <w:szCs w:val="24"/>
        </w:rPr>
      </w:pPr>
      <w:bookmarkStart w:id="0" w:name="_Toc506222866"/>
      <w:bookmarkStart w:id="1" w:name="_Toc388447223"/>
      <w:bookmarkStart w:id="2" w:name="_Toc388447780"/>
      <w:bookmarkStart w:id="3" w:name="_Toc396480919"/>
      <w:bookmarkStart w:id="4" w:name="_Ref414742141"/>
      <w:bookmarkStart w:id="5" w:name="_Ref414742148"/>
      <w:bookmarkStart w:id="6" w:name="_GoBack"/>
      <w:bookmarkEnd w:id="6"/>
      <w:r>
        <w:rPr>
          <w:rFonts w:ascii="Verdana" w:eastAsia="Times New Roman" w:hAnsi="Verdana" w:cs="Times New Roman"/>
          <w:b/>
          <w:bCs/>
          <w:sz w:val="24"/>
          <w:szCs w:val="24"/>
        </w:rPr>
        <w:t xml:space="preserve">Информация о принимаемых рисках, процедурах их оценки, управления рисками и капиталом  </w:t>
      </w:r>
      <w:r w:rsidRPr="000D43C9">
        <w:rPr>
          <w:rFonts w:ascii="Verdana" w:eastAsia="Times New Roman" w:hAnsi="Verdana" w:cs="Times New Roman"/>
          <w:b/>
          <w:bCs/>
          <w:sz w:val="24"/>
          <w:szCs w:val="24"/>
        </w:rPr>
        <w:t>Общества с ограниченной ответственностью</w:t>
      </w:r>
      <w:r w:rsidRPr="000D43C9">
        <w:rPr>
          <w:rFonts w:ascii="Verdana" w:eastAsia="Times New Roman" w:hAnsi="Verdana" w:cs="Times New Roman"/>
          <w:b/>
          <w:bCs/>
          <w:sz w:val="24"/>
          <w:szCs w:val="24"/>
        </w:rPr>
        <w:br/>
        <w:t>«Небанковская кредитная организация «</w:t>
      </w:r>
      <w:proofErr w:type="spellStart"/>
      <w:r w:rsidRPr="000D43C9">
        <w:rPr>
          <w:rFonts w:ascii="Verdana" w:eastAsia="Times New Roman" w:hAnsi="Verdana" w:cs="Times New Roman"/>
          <w:b/>
          <w:bCs/>
          <w:sz w:val="24"/>
          <w:szCs w:val="24"/>
        </w:rPr>
        <w:t>Глобал</w:t>
      </w:r>
      <w:proofErr w:type="spellEnd"/>
      <w:r w:rsidRPr="000D43C9">
        <w:rPr>
          <w:rFonts w:ascii="Verdana" w:eastAsia="Times New Roman" w:hAnsi="Verdana" w:cs="Times New Roman"/>
          <w:b/>
          <w:bCs/>
          <w:sz w:val="24"/>
          <w:szCs w:val="24"/>
        </w:rPr>
        <w:t xml:space="preserve"> </w:t>
      </w:r>
      <w:proofErr w:type="spellStart"/>
      <w:r w:rsidRPr="000D43C9">
        <w:rPr>
          <w:rFonts w:ascii="Verdana" w:eastAsia="Times New Roman" w:hAnsi="Verdana" w:cs="Times New Roman"/>
          <w:b/>
          <w:bCs/>
          <w:sz w:val="24"/>
          <w:szCs w:val="24"/>
        </w:rPr>
        <w:t>Эксчейндж</w:t>
      </w:r>
      <w:proofErr w:type="spellEnd"/>
      <w:r w:rsidRPr="000D43C9">
        <w:rPr>
          <w:rFonts w:ascii="Verdana" w:eastAsia="Times New Roman" w:hAnsi="Verdana" w:cs="Times New Roman"/>
          <w:b/>
          <w:bCs/>
          <w:sz w:val="24"/>
          <w:szCs w:val="24"/>
        </w:rPr>
        <w:t>»</w:t>
      </w:r>
      <w:r w:rsidRPr="000D43C9">
        <w:rPr>
          <w:rFonts w:ascii="Verdana" w:eastAsia="Times New Roman" w:hAnsi="Verdana" w:cs="Times New Roman"/>
          <w:b/>
          <w:bCs/>
          <w:sz w:val="24"/>
          <w:szCs w:val="24"/>
        </w:rPr>
        <w:br/>
        <w:t>за 1 квартал 2018 год</w:t>
      </w:r>
      <w:bookmarkEnd w:id="0"/>
    </w:p>
    <w:p w:rsidR="000D43C9" w:rsidRPr="000D43C9" w:rsidRDefault="000D43C9" w:rsidP="000D43C9">
      <w:pPr>
        <w:spacing w:after="0" w:line="240" w:lineRule="auto"/>
        <w:rPr>
          <w:rFonts w:ascii="Verdana" w:eastAsia="Times New Roman" w:hAnsi="Verdana" w:cs="Times New Roman"/>
          <w:sz w:val="24"/>
          <w:szCs w:val="24"/>
        </w:rPr>
      </w:pPr>
    </w:p>
    <w:p w:rsidR="000D43C9" w:rsidRPr="000D43C9" w:rsidRDefault="000D43C9" w:rsidP="000D43C9">
      <w:pPr>
        <w:spacing w:after="0" w:line="240" w:lineRule="auto"/>
        <w:rPr>
          <w:rFonts w:ascii="Verdana" w:eastAsia="Times New Roman" w:hAnsi="Verdana" w:cs="Times New Roman"/>
          <w:b/>
          <w:sz w:val="20"/>
          <w:szCs w:val="20"/>
        </w:rPr>
      </w:pPr>
      <w:r w:rsidRPr="000D43C9">
        <w:rPr>
          <w:rFonts w:ascii="Verdana" w:eastAsia="Times New Roman" w:hAnsi="Verdana" w:cs="Times New Roman"/>
          <w:b/>
          <w:sz w:val="20"/>
          <w:szCs w:val="20"/>
        </w:rPr>
        <w:t>Общая информация</w:t>
      </w:r>
    </w:p>
    <w:p w:rsidR="000D43C9" w:rsidRPr="000D43C9" w:rsidRDefault="000D43C9" w:rsidP="000D43C9">
      <w:pPr>
        <w:spacing w:after="0" w:line="240" w:lineRule="auto"/>
        <w:rPr>
          <w:rFonts w:ascii="Verdana" w:eastAsia="Times New Roman" w:hAnsi="Verdana" w:cs="Times New Roman"/>
          <w:sz w:val="20"/>
          <w:szCs w:val="20"/>
        </w:rPr>
      </w:pPr>
    </w:p>
    <w:p w:rsidR="000D43C9" w:rsidRPr="000D43C9" w:rsidRDefault="000D43C9" w:rsidP="000D43C9">
      <w:pPr>
        <w:spacing w:after="0" w:line="240" w:lineRule="auto"/>
        <w:ind w:firstLine="567"/>
        <w:jc w:val="both"/>
        <w:rPr>
          <w:rFonts w:ascii="Verdana" w:eastAsia="Times New Roman" w:hAnsi="Verdana" w:cs="Times New Roman"/>
          <w:sz w:val="20"/>
          <w:szCs w:val="20"/>
        </w:rPr>
      </w:pPr>
      <w:r w:rsidRPr="000D43C9">
        <w:rPr>
          <w:rFonts w:ascii="Verdana" w:eastAsia="Times New Roman" w:hAnsi="Verdana" w:cs="Times New Roman"/>
          <w:sz w:val="20"/>
          <w:szCs w:val="20"/>
        </w:rPr>
        <w:t>Общество с ограниченной ответственностью «Небанковская кредитная организация «</w:t>
      </w:r>
      <w:proofErr w:type="spellStart"/>
      <w:r w:rsidRPr="000D43C9">
        <w:rPr>
          <w:rFonts w:ascii="Verdana" w:eastAsia="Times New Roman" w:hAnsi="Verdana" w:cs="Times New Roman"/>
          <w:sz w:val="20"/>
          <w:szCs w:val="20"/>
        </w:rPr>
        <w:t>Глобал</w:t>
      </w:r>
      <w:proofErr w:type="spellEnd"/>
      <w:r w:rsidRPr="000D43C9">
        <w:rPr>
          <w:rFonts w:ascii="Verdana" w:eastAsia="Times New Roman" w:hAnsi="Verdana" w:cs="Times New Roman"/>
          <w:sz w:val="20"/>
          <w:szCs w:val="20"/>
        </w:rPr>
        <w:t xml:space="preserve"> </w:t>
      </w:r>
      <w:proofErr w:type="spellStart"/>
      <w:r w:rsidRPr="000D43C9">
        <w:rPr>
          <w:rFonts w:ascii="Verdana" w:eastAsia="Times New Roman" w:hAnsi="Verdana" w:cs="Times New Roman"/>
          <w:sz w:val="20"/>
          <w:szCs w:val="20"/>
        </w:rPr>
        <w:t>Эксчейндж</w:t>
      </w:r>
      <w:proofErr w:type="spellEnd"/>
      <w:r w:rsidRPr="000D43C9">
        <w:rPr>
          <w:rFonts w:ascii="Verdana" w:eastAsia="Times New Roman" w:hAnsi="Verdana" w:cs="Times New Roman"/>
          <w:sz w:val="20"/>
          <w:szCs w:val="20"/>
        </w:rPr>
        <w:t>», сокращенное наименование ООО «НКО «</w:t>
      </w:r>
      <w:proofErr w:type="spellStart"/>
      <w:r w:rsidRPr="000D43C9">
        <w:rPr>
          <w:rFonts w:ascii="Verdana" w:eastAsia="Times New Roman" w:hAnsi="Verdana" w:cs="Times New Roman"/>
          <w:sz w:val="20"/>
          <w:szCs w:val="20"/>
        </w:rPr>
        <w:t>Глобал</w:t>
      </w:r>
      <w:proofErr w:type="spellEnd"/>
      <w:r w:rsidRPr="000D43C9">
        <w:rPr>
          <w:rFonts w:ascii="Verdana" w:eastAsia="Times New Roman" w:hAnsi="Verdana" w:cs="Times New Roman"/>
          <w:sz w:val="20"/>
          <w:szCs w:val="20"/>
        </w:rPr>
        <w:t xml:space="preserve"> </w:t>
      </w:r>
      <w:proofErr w:type="spellStart"/>
      <w:r w:rsidRPr="000D43C9">
        <w:rPr>
          <w:rFonts w:ascii="Verdana" w:eastAsia="Times New Roman" w:hAnsi="Verdana" w:cs="Times New Roman"/>
          <w:sz w:val="20"/>
          <w:szCs w:val="20"/>
        </w:rPr>
        <w:t>Эксчейндж</w:t>
      </w:r>
      <w:proofErr w:type="spellEnd"/>
      <w:r w:rsidRPr="000D43C9">
        <w:rPr>
          <w:rFonts w:ascii="Verdana" w:eastAsia="Times New Roman" w:hAnsi="Verdana" w:cs="Times New Roman"/>
          <w:sz w:val="20"/>
          <w:szCs w:val="20"/>
        </w:rPr>
        <w:t xml:space="preserve">» (далее – «НКО», «Общество») было зарегистрировано Центральным Банком РФ (далее – «ЦБ РФ») 09.03.2016 года по адресу 119530, г. Москва, Очаковское шоссе, д. 34, помещение IV - комната 11. </w:t>
      </w:r>
      <w:r w:rsidRPr="000D43C9">
        <w:rPr>
          <w:rFonts w:ascii="Verdana" w:eastAsia="Times New Roman" w:hAnsi="Verdana" w:cs="Arial"/>
          <w:sz w:val="20"/>
          <w:szCs w:val="20"/>
          <w:lang w:eastAsia="ru-RU"/>
        </w:rPr>
        <w:t>Размер уставного капитала кредитной организации на 01.04.2018г. составляет 90 000 000 (Девяносто миллионов) руб. РФ.</w:t>
      </w:r>
    </w:p>
    <w:bookmarkEnd w:id="1"/>
    <w:bookmarkEnd w:id="2"/>
    <w:bookmarkEnd w:id="3"/>
    <w:bookmarkEnd w:id="4"/>
    <w:bookmarkEnd w:id="5"/>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val="en-US" w:eastAsia="ru-RU"/>
        </w:rPr>
        <w:t>OOO</w:t>
      </w:r>
      <w:r w:rsidRPr="000D43C9">
        <w:rPr>
          <w:rFonts w:ascii="Verdana" w:eastAsia="Times New Roman" w:hAnsi="Verdana" w:cs="Arial"/>
          <w:sz w:val="20"/>
          <w:szCs w:val="20"/>
          <w:lang w:eastAsia="ru-RU"/>
        </w:rPr>
        <w:t xml:space="preserve"> НКО «</w:t>
      </w:r>
      <w:proofErr w:type="spellStart"/>
      <w:r w:rsidRPr="000D43C9">
        <w:rPr>
          <w:rFonts w:ascii="Verdana" w:eastAsia="Times New Roman" w:hAnsi="Verdana" w:cs="Arial"/>
          <w:sz w:val="20"/>
          <w:szCs w:val="20"/>
          <w:lang w:eastAsia="ru-RU"/>
        </w:rPr>
        <w:t>Глобал</w:t>
      </w:r>
      <w:proofErr w:type="spellEnd"/>
      <w:r w:rsidRPr="000D43C9">
        <w:rPr>
          <w:rFonts w:ascii="Verdana" w:eastAsia="Times New Roman" w:hAnsi="Verdana" w:cs="Arial"/>
          <w:sz w:val="20"/>
          <w:szCs w:val="20"/>
          <w:lang w:eastAsia="ru-RU"/>
        </w:rPr>
        <w:t xml:space="preserve"> </w:t>
      </w:r>
      <w:proofErr w:type="spellStart"/>
      <w:r w:rsidRPr="000D43C9">
        <w:rPr>
          <w:rFonts w:ascii="Verdana" w:eastAsia="Times New Roman" w:hAnsi="Verdana" w:cs="Arial"/>
          <w:sz w:val="20"/>
          <w:szCs w:val="20"/>
          <w:lang w:eastAsia="ru-RU"/>
        </w:rPr>
        <w:t>Эксчейндж</w:t>
      </w:r>
      <w:proofErr w:type="spellEnd"/>
      <w:r w:rsidRPr="000D43C9">
        <w:rPr>
          <w:rFonts w:ascii="Verdana" w:eastAsia="Times New Roman" w:hAnsi="Verdana" w:cs="Arial"/>
          <w:sz w:val="20"/>
          <w:szCs w:val="20"/>
          <w:lang w:eastAsia="ru-RU"/>
        </w:rPr>
        <w:t xml:space="preserve">» осуществляет свою деятельность только на территории Российской Федерации. </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В 1 квартале 2018 года наименование и местонахождение кредитной организации не изменялись.</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val="en-US" w:eastAsia="ru-RU"/>
        </w:rPr>
        <w:t>OOO</w:t>
      </w:r>
      <w:r w:rsidRPr="000D43C9">
        <w:rPr>
          <w:rFonts w:ascii="Verdana" w:eastAsia="Times New Roman" w:hAnsi="Verdana" w:cs="Arial"/>
          <w:sz w:val="20"/>
          <w:szCs w:val="20"/>
          <w:lang w:eastAsia="ru-RU"/>
        </w:rPr>
        <w:t xml:space="preserve"> НКО «</w:t>
      </w:r>
      <w:proofErr w:type="spellStart"/>
      <w:r w:rsidRPr="000D43C9">
        <w:rPr>
          <w:rFonts w:ascii="Verdana" w:eastAsia="Times New Roman" w:hAnsi="Verdana" w:cs="Arial"/>
          <w:sz w:val="20"/>
          <w:szCs w:val="20"/>
          <w:lang w:eastAsia="ru-RU"/>
        </w:rPr>
        <w:t>Глобал</w:t>
      </w:r>
      <w:proofErr w:type="spellEnd"/>
      <w:r w:rsidRPr="000D43C9">
        <w:rPr>
          <w:rFonts w:ascii="Verdana" w:eastAsia="Times New Roman" w:hAnsi="Verdana" w:cs="Arial"/>
          <w:sz w:val="20"/>
          <w:szCs w:val="20"/>
          <w:lang w:eastAsia="ru-RU"/>
        </w:rPr>
        <w:t xml:space="preserve"> </w:t>
      </w:r>
      <w:proofErr w:type="spellStart"/>
      <w:r w:rsidRPr="000D43C9">
        <w:rPr>
          <w:rFonts w:ascii="Verdana" w:eastAsia="Times New Roman" w:hAnsi="Verdana" w:cs="Arial"/>
          <w:sz w:val="20"/>
          <w:szCs w:val="20"/>
          <w:lang w:eastAsia="ru-RU"/>
        </w:rPr>
        <w:t>Эксчейндж</w:t>
      </w:r>
      <w:proofErr w:type="spellEnd"/>
      <w:r w:rsidRPr="000D43C9">
        <w:rPr>
          <w:rFonts w:ascii="Verdana" w:eastAsia="Times New Roman" w:hAnsi="Verdana" w:cs="Arial"/>
          <w:sz w:val="20"/>
          <w:szCs w:val="20"/>
          <w:lang w:eastAsia="ru-RU"/>
        </w:rPr>
        <w:t>» по состоянию на отчетную дату состоит из:</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 Головного офиса, расположенного по адресу: 119530, Россия, г. Москва, Очаковское шоссе д. 34, помещение IV -комната 11; </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- 2-х кредитно-кассовых офисов, расположенных в следующих международных аэропортах: Аэропорт «Пулково» (г. Санкт-Петербург), Аэропорт «Толмачево». </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Единственным учредителем ООО НКО «</w:t>
      </w:r>
      <w:proofErr w:type="spellStart"/>
      <w:r w:rsidRPr="000D43C9">
        <w:rPr>
          <w:rFonts w:ascii="Verdana" w:eastAsia="Times New Roman" w:hAnsi="Verdana" w:cs="Arial"/>
          <w:sz w:val="20"/>
          <w:szCs w:val="20"/>
          <w:lang w:eastAsia="ru-RU"/>
        </w:rPr>
        <w:t>Глобал</w:t>
      </w:r>
      <w:proofErr w:type="spellEnd"/>
      <w:r w:rsidRPr="000D43C9">
        <w:rPr>
          <w:rFonts w:ascii="Verdana" w:eastAsia="Times New Roman" w:hAnsi="Verdana" w:cs="Arial"/>
          <w:sz w:val="20"/>
          <w:szCs w:val="20"/>
          <w:lang w:eastAsia="ru-RU"/>
        </w:rPr>
        <w:t xml:space="preserve"> </w:t>
      </w:r>
      <w:proofErr w:type="spellStart"/>
      <w:r w:rsidRPr="000D43C9">
        <w:rPr>
          <w:rFonts w:ascii="Verdana" w:eastAsia="Times New Roman" w:hAnsi="Verdana" w:cs="Arial"/>
          <w:sz w:val="20"/>
          <w:szCs w:val="20"/>
          <w:lang w:eastAsia="ru-RU"/>
        </w:rPr>
        <w:t>Эксчейндж</w:t>
      </w:r>
      <w:proofErr w:type="spellEnd"/>
      <w:r w:rsidRPr="000D43C9">
        <w:rPr>
          <w:rFonts w:ascii="Verdana" w:eastAsia="Times New Roman" w:hAnsi="Verdana" w:cs="Arial"/>
          <w:sz w:val="20"/>
          <w:szCs w:val="20"/>
          <w:lang w:eastAsia="ru-RU"/>
        </w:rPr>
        <w:t xml:space="preserve">» является компания ЕВРОДИВИСАС, С.А., которая зарегистрирована в соответствии с законодательством Испании и числится в коммерческом реестре города Саламанки. </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ООО НКО «</w:t>
      </w:r>
      <w:proofErr w:type="spellStart"/>
      <w:r w:rsidRPr="000D43C9">
        <w:rPr>
          <w:rFonts w:ascii="Verdana" w:eastAsia="Times New Roman" w:hAnsi="Verdana" w:cs="Arial"/>
          <w:sz w:val="20"/>
          <w:szCs w:val="20"/>
          <w:lang w:eastAsia="ru-RU"/>
        </w:rPr>
        <w:t>Глобал</w:t>
      </w:r>
      <w:proofErr w:type="spellEnd"/>
      <w:r w:rsidRPr="000D43C9">
        <w:rPr>
          <w:rFonts w:ascii="Verdana" w:eastAsia="Times New Roman" w:hAnsi="Verdana" w:cs="Arial"/>
          <w:sz w:val="20"/>
          <w:szCs w:val="20"/>
          <w:lang w:eastAsia="ru-RU"/>
        </w:rPr>
        <w:t xml:space="preserve"> </w:t>
      </w:r>
      <w:proofErr w:type="spellStart"/>
      <w:r w:rsidRPr="000D43C9">
        <w:rPr>
          <w:rFonts w:ascii="Verdana" w:eastAsia="Times New Roman" w:hAnsi="Verdana" w:cs="Arial"/>
          <w:sz w:val="20"/>
          <w:szCs w:val="20"/>
          <w:lang w:eastAsia="ru-RU"/>
        </w:rPr>
        <w:t>Эксчейндж</w:t>
      </w:r>
      <w:proofErr w:type="spellEnd"/>
      <w:r w:rsidRPr="000D43C9">
        <w:rPr>
          <w:rFonts w:ascii="Verdana" w:eastAsia="Times New Roman" w:hAnsi="Verdana" w:cs="Arial"/>
          <w:sz w:val="20"/>
          <w:szCs w:val="20"/>
          <w:lang w:eastAsia="ru-RU"/>
        </w:rPr>
        <w:t xml:space="preserve">» не является головной организацией и/или участником банковской группы и/или банковского холдинга в соответствии с </w:t>
      </w:r>
      <w:proofErr w:type="gramStart"/>
      <w:r w:rsidRPr="000D43C9">
        <w:rPr>
          <w:rFonts w:ascii="Verdana" w:eastAsia="Times New Roman" w:hAnsi="Verdana" w:cs="Arial"/>
          <w:sz w:val="20"/>
          <w:szCs w:val="20"/>
          <w:lang w:eastAsia="ru-RU"/>
        </w:rPr>
        <w:t>требованиями  Федерального</w:t>
      </w:r>
      <w:proofErr w:type="gramEnd"/>
      <w:r w:rsidRPr="000D43C9">
        <w:rPr>
          <w:rFonts w:ascii="Verdana" w:eastAsia="Times New Roman" w:hAnsi="Verdana" w:cs="Arial"/>
          <w:sz w:val="20"/>
          <w:szCs w:val="20"/>
          <w:lang w:eastAsia="ru-RU"/>
        </w:rPr>
        <w:t xml:space="preserve"> закона от 02.12.1990 № 395-1 "О банках и банковской деятельности".</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Государственная регистрация ООО НКО «</w:t>
      </w:r>
      <w:proofErr w:type="spellStart"/>
      <w:r w:rsidRPr="000D43C9">
        <w:rPr>
          <w:rFonts w:ascii="Verdana" w:eastAsia="Times New Roman" w:hAnsi="Verdana" w:cs="Arial"/>
          <w:sz w:val="20"/>
          <w:szCs w:val="20"/>
          <w:lang w:eastAsia="ru-RU"/>
        </w:rPr>
        <w:t>Глобал</w:t>
      </w:r>
      <w:proofErr w:type="spellEnd"/>
      <w:r w:rsidRPr="000D43C9">
        <w:rPr>
          <w:rFonts w:ascii="Verdana" w:eastAsia="Times New Roman" w:hAnsi="Verdana" w:cs="Arial"/>
          <w:sz w:val="20"/>
          <w:szCs w:val="20"/>
          <w:lang w:eastAsia="ru-RU"/>
        </w:rPr>
        <w:t xml:space="preserve"> </w:t>
      </w:r>
      <w:proofErr w:type="spellStart"/>
      <w:r w:rsidRPr="000D43C9">
        <w:rPr>
          <w:rFonts w:ascii="Verdana" w:eastAsia="Times New Roman" w:hAnsi="Verdana" w:cs="Arial"/>
          <w:sz w:val="20"/>
          <w:szCs w:val="20"/>
          <w:lang w:eastAsia="ru-RU"/>
        </w:rPr>
        <w:t>Эксчейндж</w:t>
      </w:r>
      <w:proofErr w:type="spellEnd"/>
      <w:r w:rsidRPr="000D43C9">
        <w:rPr>
          <w:rFonts w:ascii="Verdana" w:eastAsia="Times New Roman" w:hAnsi="Verdana" w:cs="Arial"/>
          <w:sz w:val="20"/>
          <w:szCs w:val="20"/>
          <w:lang w:eastAsia="ru-RU"/>
        </w:rPr>
        <w:t xml:space="preserve">» была произведена 09.03.2016 г. </w:t>
      </w:r>
      <w:r w:rsidRPr="000D43C9">
        <w:rPr>
          <w:rFonts w:ascii="Verdana" w:eastAsia="Times New Roman" w:hAnsi="Verdana" w:cs="Arial"/>
          <w:sz w:val="20"/>
          <w:szCs w:val="20"/>
          <w:lang w:val="en-US" w:eastAsia="ru-RU"/>
        </w:rPr>
        <w:t>OOO</w:t>
      </w:r>
      <w:r w:rsidRPr="000D43C9">
        <w:rPr>
          <w:rFonts w:ascii="Verdana" w:eastAsia="Times New Roman" w:hAnsi="Verdana" w:cs="Arial"/>
          <w:sz w:val="20"/>
          <w:szCs w:val="20"/>
          <w:lang w:eastAsia="ru-RU"/>
        </w:rPr>
        <w:t xml:space="preserve"> НКО «</w:t>
      </w:r>
      <w:proofErr w:type="spellStart"/>
      <w:r w:rsidRPr="000D43C9">
        <w:rPr>
          <w:rFonts w:ascii="Verdana" w:eastAsia="Times New Roman" w:hAnsi="Verdana" w:cs="Arial"/>
          <w:sz w:val="20"/>
          <w:szCs w:val="20"/>
          <w:lang w:eastAsia="ru-RU"/>
        </w:rPr>
        <w:t>Глобал</w:t>
      </w:r>
      <w:proofErr w:type="spellEnd"/>
      <w:r w:rsidRPr="000D43C9">
        <w:rPr>
          <w:rFonts w:ascii="Verdana" w:eastAsia="Times New Roman" w:hAnsi="Verdana" w:cs="Arial"/>
          <w:sz w:val="20"/>
          <w:szCs w:val="20"/>
          <w:lang w:eastAsia="ru-RU"/>
        </w:rPr>
        <w:t xml:space="preserve"> </w:t>
      </w:r>
      <w:proofErr w:type="spellStart"/>
      <w:r w:rsidRPr="000D43C9">
        <w:rPr>
          <w:rFonts w:ascii="Verdana" w:eastAsia="Times New Roman" w:hAnsi="Verdana" w:cs="Arial"/>
          <w:sz w:val="20"/>
          <w:szCs w:val="20"/>
          <w:lang w:eastAsia="ru-RU"/>
        </w:rPr>
        <w:t>Эксчейндж</w:t>
      </w:r>
      <w:proofErr w:type="spellEnd"/>
      <w:r w:rsidRPr="000D43C9">
        <w:rPr>
          <w:rFonts w:ascii="Verdana" w:eastAsia="Times New Roman" w:hAnsi="Verdana" w:cs="Arial"/>
          <w:sz w:val="20"/>
          <w:szCs w:val="20"/>
          <w:lang w:eastAsia="ru-RU"/>
        </w:rPr>
        <w:t>» начало операционную деятельность в августе 2016 года.</w:t>
      </w:r>
    </w:p>
    <w:p w:rsidR="000D43C9" w:rsidRPr="000D43C9" w:rsidRDefault="000D43C9" w:rsidP="000D43C9">
      <w:pPr>
        <w:spacing w:after="0" w:line="240" w:lineRule="auto"/>
        <w:rPr>
          <w:rFonts w:ascii="Verdana" w:eastAsia="Times New Roman" w:hAnsi="Verdana" w:cs="Times New Roman"/>
          <w:b/>
          <w:sz w:val="20"/>
          <w:szCs w:val="20"/>
        </w:rPr>
      </w:pPr>
      <w:r w:rsidRPr="000D43C9">
        <w:rPr>
          <w:rFonts w:ascii="Verdana" w:eastAsia="Times New Roman" w:hAnsi="Verdana" w:cs="Times New Roman"/>
          <w:b/>
          <w:sz w:val="20"/>
          <w:szCs w:val="20"/>
        </w:rPr>
        <w:t>Краткая характеристика деятельности</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ООО НКО «</w:t>
      </w:r>
      <w:proofErr w:type="spellStart"/>
      <w:r w:rsidRPr="000D43C9">
        <w:rPr>
          <w:rFonts w:ascii="Verdana" w:eastAsia="Times New Roman" w:hAnsi="Verdana" w:cs="Arial"/>
          <w:sz w:val="20"/>
          <w:szCs w:val="20"/>
          <w:lang w:eastAsia="ru-RU"/>
        </w:rPr>
        <w:t>Глобал</w:t>
      </w:r>
      <w:proofErr w:type="spellEnd"/>
      <w:r w:rsidRPr="000D43C9">
        <w:rPr>
          <w:rFonts w:ascii="Verdana" w:eastAsia="Times New Roman" w:hAnsi="Verdana" w:cs="Arial"/>
          <w:sz w:val="20"/>
          <w:szCs w:val="20"/>
          <w:lang w:eastAsia="ru-RU"/>
        </w:rPr>
        <w:t xml:space="preserve"> </w:t>
      </w:r>
      <w:proofErr w:type="spellStart"/>
      <w:r w:rsidRPr="000D43C9">
        <w:rPr>
          <w:rFonts w:ascii="Verdana" w:eastAsia="Times New Roman" w:hAnsi="Verdana" w:cs="Arial"/>
          <w:sz w:val="20"/>
          <w:szCs w:val="20"/>
          <w:lang w:eastAsia="ru-RU"/>
        </w:rPr>
        <w:t>Эксчейндж</w:t>
      </w:r>
      <w:proofErr w:type="spellEnd"/>
      <w:r w:rsidRPr="000D43C9">
        <w:rPr>
          <w:rFonts w:ascii="Verdana" w:eastAsia="Times New Roman" w:hAnsi="Verdana" w:cs="Arial"/>
          <w:sz w:val="20"/>
          <w:szCs w:val="20"/>
          <w:lang w:eastAsia="ru-RU"/>
        </w:rPr>
        <w:t xml:space="preserve">» учреждено компанией, являющейся резидентом Испании ЕВРОДИВИСАС, С.А., которая в свою очередь является одной из трех мировых ведущих компаний, специализирующихся на валютно-обменных операциях, предоставляемых в международных аэропортах различных стран мира. </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ЕВРОДИВИСАС, С.А. располагает обменными пунктами в 55 аэропортах 21 странах на 5 континентах, является ведущей компанией обмена валюты в Латинской Америке и Карибского бассейна. Также компания работает в четырех аэропортах Испании, пяти аэропортах Марокко и в главном аэропорту Иордании.</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Основной услугой ЕВРОДИВИСАС, С.А. является – обмен иностранной валюты. Вся корпоративная инфраструктура и менеджмент были специально разработаны для достижения совершенства и адаптированы к специфическим нуждам аэропорта, в котором осуществляется деятельность. Весь накопленный опыт ЕВРОДИВИСАС, С.А. передает учрежденной НКО, что позволяет последней стать интересным, ярким и успешным партнером для аэропортов, с которыми НКО осуществляет и планирует осуществлять сотрудничество. НКО является долгосрочным и стратегическим проектом компании ЕВРОДИВИСАС, С.А, конечной целью которого является реализация устойчивого бизнеса в части предоставления всем известной услуги по осуществлению валютно-обменных операций, приема платежей, осуществления переводов без открытия счета на новом уровне, не имеющем аналога на российском рынке, используя преимущества передовых технологий и высокое качество обслуживания клиентов</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НКО в 1 квартале 2018 года </w:t>
      </w:r>
      <w:r w:rsidRPr="000D43C9">
        <w:rPr>
          <w:rFonts w:ascii="Verdana" w:eastAsia="Times New Roman" w:hAnsi="Verdana" w:cs="Arial"/>
          <w:b/>
          <w:sz w:val="20"/>
          <w:szCs w:val="20"/>
          <w:lang w:eastAsia="ru-RU"/>
        </w:rPr>
        <w:t>осуществляла</w:t>
      </w:r>
      <w:r w:rsidRPr="000D43C9">
        <w:rPr>
          <w:rFonts w:ascii="Verdana" w:eastAsia="Times New Roman" w:hAnsi="Verdana" w:cs="Arial"/>
          <w:sz w:val="20"/>
          <w:szCs w:val="20"/>
          <w:lang w:eastAsia="ru-RU"/>
        </w:rPr>
        <w:t xml:space="preserve"> следующие виды операций с наличной иностранной валютой:</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1. Покупка наличной иностранной валюты за наличную валюту Российской Федерации.</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2. Продажа наличной иностранной валюты за наличную валюту Российской Федерации.</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3. Осуществление переводов без открытия счета (таможенные и иные платежи).</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4.  Выдача наличных денежных средств держателям банковских карт в ПВН НКО.</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С 2017г. НКО является аффилированным членом платежных систем: МИР, VISA, </w:t>
      </w:r>
      <w:proofErr w:type="spellStart"/>
      <w:r w:rsidRPr="000D43C9">
        <w:rPr>
          <w:rFonts w:ascii="Verdana" w:eastAsia="Times New Roman" w:hAnsi="Verdana" w:cs="Arial"/>
          <w:sz w:val="20"/>
          <w:szCs w:val="20"/>
          <w:lang w:eastAsia="ru-RU"/>
        </w:rPr>
        <w:t>MasterCard</w:t>
      </w:r>
      <w:proofErr w:type="spellEnd"/>
      <w:r w:rsidRPr="000D43C9">
        <w:rPr>
          <w:rFonts w:ascii="Verdana" w:eastAsia="Times New Roman" w:hAnsi="Verdana" w:cs="Arial"/>
          <w:sz w:val="20"/>
          <w:szCs w:val="20"/>
          <w:lang w:eastAsia="ru-RU"/>
        </w:rPr>
        <w:t>.</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bookmarkStart w:id="7" w:name="_Toc396480921"/>
      <w:r w:rsidRPr="000D43C9">
        <w:rPr>
          <w:rFonts w:ascii="Verdana" w:eastAsia="Times New Roman" w:hAnsi="Verdana" w:cs="Arial"/>
          <w:sz w:val="20"/>
          <w:szCs w:val="20"/>
          <w:lang w:eastAsia="ru-RU"/>
        </w:rPr>
        <w:t xml:space="preserve">В условиях изменения внешней среды, в которой функционирует кредитная организация, стратегической целью деятельности НКО является формирование современной устойчивой </w:t>
      </w:r>
      <w:proofErr w:type="spellStart"/>
      <w:r w:rsidRPr="000D43C9">
        <w:rPr>
          <w:rFonts w:ascii="Verdana" w:eastAsia="Times New Roman" w:hAnsi="Verdana" w:cs="Arial"/>
          <w:sz w:val="20"/>
          <w:szCs w:val="20"/>
          <w:lang w:eastAsia="ru-RU"/>
        </w:rPr>
        <w:t>низкорисковой</w:t>
      </w:r>
      <w:proofErr w:type="spellEnd"/>
      <w:r w:rsidRPr="000D43C9">
        <w:rPr>
          <w:rFonts w:ascii="Verdana" w:eastAsia="Times New Roman" w:hAnsi="Verdana" w:cs="Arial"/>
          <w:sz w:val="20"/>
          <w:szCs w:val="20"/>
          <w:lang w:eastAsia="ru-RU"/>
        </w:rPr>
        <w:t xml:space="preserve"> кредитной организации, сконцентрированной на оказание качественных услуг.</w:t>
      </w:r>
    </w:p>
    <w:p w:rsidR="000D43C9" w:rsidRPr="000D43C9" w:rsidRDefault="000D43C9" w:rsidP="00EB2E30">
      <w:pPr>
        <w:keepNext/>
        <w:keepLines/>
        <w:spacing w:before="480" w:after="0" w:line="240" w:lineRule="auto"/>
        <w:outlineLvl w:val="0"/>
        <w:rPr>
          <w:rFonts w:ascii="Verdana" w:eastAsia="Times New Roman" w:hAnsi="Verdana" w:cs="Arial"/>
          <w:b/>
          <w:sz w:val="20"/>
          <w:szCs w:val="20"/>
        </w:rPr>
      </w:pPr>
      <w:bookmarkStart w:id="8" w:name="_Toc396480922"/>
      <w:bookmarkStart w:id="9" w:name="_Toc506222867"/>
      <w:r w:rsidRPr="000D43C9">
        <w:rPr>
          <w:rFonts w:ascii="Verdana" w:eastAsia="Times New Roman" w:hAnsi="Verdana" w:cs="Arial"/>
          <w:b/>
          <w:sz w:val="20"/>
          <w:szCs w:val="20"/>
        </w:rPr>
        <w:t>Основные показатели деятельности НКО</w:t>
      </w:r>
      <w:bookmarkEnd w:id="8"/>
      <w:bookmarkEnd w:id="9"/>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НКО начала операционную деятельность 4 августа 2016 года. </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По состоянию на 01.04.2018 активы НКО составили 172 104 тысячи рублей.</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В структуре активов наибольший удельный вес на 01.04.2018 приходится на чистую ссудную задолженность и на основные средства – 52,61% и 33,22% соответственно.</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В структуре доходов за 1 квартал 2018 года доходы от операций с иностранной валютой составили</w:t>
      </w:r>
      <w:r w:rsidRPr="000D43C9" w:rsidDel="00B276AA">
        <w:rPr>
          <w:rFonts w:ascii="Verdana" w:eastAsia="Times New Roman" w:hAnsi="Verdana" w:cs="Arial"/>
          <w:sz w:val="20"/>
          <w:szCs w:val="20"/>
          <w:lang w:eastAsia="ru-RU"/>
        </w:rPr>
        <w:t xml:space="preserve"> </w:t>
      </w:r>
      <w:r w:rsidRPr="000D43C9">
        <w:rPr>
          <w:rFonts w:ascii="Verdana" w:eastAsia="Times New Roman" w:hAnsi="Verdana" w:cs="Arial"/>
          <w:sz w:val="20"/>
          <w:szCs w:val="20"/>
          <w:lang w:eastAsia="ru-RU"/>
        </w:rPr>
        <w:t xml:space="preserve">12 163 тыс. рублей. </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bCs/>
          <w:sz w:val="20"/>
          <w:szCs w:val="20"/>
          <w:lang w:eastAsia="ru-RU"/>
        </w:rPr>
        <w:t xml:space="preserve">Комиссионный доход </w:t>
      </w:r>
      <w:r w:rsidRPr="000D43C9">
        <w:rPr>
          <w:rFonts w:ascii="Verdana" w:eastAsia="Times New Roman" w:hAnsi="Verdana" w:cs="Arial"/>
          <w:sz w:val="20"/>
          <w:szCs w:val="20"/>
          <w:lang w:eastAsia="ru-RU"/>
        </w:rPr>
        <w:t>за 1 квартал 2018 года</w:t>
      </w:r>
      <w:r w:rsidRPr="000D43C9">
        <w:rPr>
          <w:rFonts w:ascii="Verdana" w:eastAsia="Times New Roman" w:hAnsi="Verdana" w:cs="Arial"/>
          <w:bCs/>
          <w:sz w:val="20"/>
          <w:szCs w:val="20"/>
          <w:lang w:eastAsia="ru-RU"/>
        </w:rPr>
        <w:t xml:space="preserve"> составили 417 тыс. руб. и представляет собой комиссию за осуществление переводов физических без открытия счета.</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В структуре расходов за 1 квартал 2018 года преобладают операционные расходы – 26 128 тыс. руб. и комиссионные расходы от валютно-обменных операций с банками составили 716 тыс. рублей. </w:t>
      </w:r>
    </w:p>
    <w:p w:rsid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Размер основного капитала по состоянию на 01.04.2018г. составил 157 880 тыс. рублей.</w:t>
      </w:r>
    </w:p>
    <w:p w:rsid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p>
    <w:p w:rsidR="000D43C9" w:rsidRPr="000D43C9" w:rsidRDefault="000D43C9" w:rsidP="000D43C9">
      <w:pPr>
        <w:widowControl w:val="0"/>
        <w:spacing w:before="240" w:after="240" w:line="240" w:lineRule="auto"/>
        <w:rPr>
          <w:rFonts w:ascii="Verdana" w:eastAsia="Times New Roman" w:hAnsi="Verdana" w:cs="Arial"/>
          <w:b/>
          <w:sz w:val="20"/>
          <w:szCs w:val="20"/>
          <w:lang w:eastAsia="ru-RU"/>
        </w:rPr>
      </w:pPr>
      <w:r>
        <w:rPr>
          <w:rFonts w:ascii="Verdana" w:eastAsia="Times New Roman" w:hAnsi="Verdana" w:cs="Arial"/>
          <w:b/>
          <w:sz w:val="20"/>
          <w:szCs w:val="20"/>
          <w:lang w:eastAsia="ru-RU"/>
        </w:rPr>
        <w:t>И</w:t>
      </w:r>
      <w:r w:rsidRPr="000D43C9">
        <w:rPr>
          <w:rFonts w:ascii="Verdana" w:eastAsia="Times New Roman" w:hAnsi="Verdana" w:cs="Arial"/>
          <w:b/>
          <w:sz w:val="20"/>
          <w:szCs w:val="20"/>
          <w:lang w:eastAsia="ru-RU"/>
        </w:rPr>
        <w:t>нформация к статьям отчета об уровне достаточности капитала</w:t>
      </w:r>
    </w:p>
    <w:p w:rsidR="000D43C9" w:rsidRPr="000D43C9" w:rsidRDefault="000D43C9" w:rsidP="000D43C9">
      <w:pPr>
        <w:widowControl w:val="0"/>
        <w:spacing w:before="240" w:after="240" w:line="240" w:lineRule="auto"/>
        <w:rPr>
          <w:rFonts w:ascii="Verdana" w:eastAsia="Calibri" w:hAnsi="Verdana" w:cs="Arial"/>
          <w:sz w:val="20"/>
          <w:szCs w:val="20"/>
        </w:rPr>
      </w:pPr>
      <w:r w:rsidRPr="000D43C9">
        <w:rPr>
          <w:rFonts w:ascii="Verdana" w:eastAsia="Calibri" w:hAnsi="Verdana" w:cs="Arial"/>
          <w:sz w:val="20"/>
          <w:szCs w:val="20"/>
        </w:rPr>
        <w:t>подходы кредитной организации к оценке достаточности капитала для обеспечения текущей и будущей деятельности Управление капиталом НКО имеет следующие цели:</w:t>
      </w:r>
    </w:p>
    <w:p w:rsidR="000D43C9" w:rsidRPr="000D43C9" w:rsidRDefault="000D43C9" w:rsidP="000D43C9">
      <w:pPr>
        <w:widowControl w:val="0"/>
        <w:numPr>
          <w:ilvl w:val="0"/>
          <w:numId w:val="36"/>
        </w:numPr>
        <w:spacing w:after="0" w:line="240" w:lineRule="auto"/>
        <w:rPr>
          <w:rFonts w:ascii="Verdana" w:eastAsia="Times New Roman" w:hAnsi="Verdana" w:cs="Arial"/>
          <w:sz w:val="20"/>
          <w:szCs w:val="20"/>
          <w:lang w:eastAsia="ru-RU"/>
        </w:rPr>
      </w:pPr>
      <w:r w:rsidRPr="000D43C9">
        <w:rPr>
          <w:rFonts w:ascii="Verdana" w:eastAsia="Calibri" w:hAnsi="Verdana" w:cs="Arial"/>
          <w:sz w:val="20"/>
          <w:szCs w:val="20"/>
        </w:rPr>
        <w:t>Соблюдение требований к капиталу, установленных Центральным банком Российской Федерации;</w:t>
      </w:r>
    </w:p>
    <w:p w:rsidR="000D43C9" w:rsidRPr="000D43C9" w:rsidRDefault="000D43C9" w:rsidP="000D43C9">
      <w:pPr>
        <w:widowControl w:val="0"/>
        <w:numPr>
          <w:ilvl w:val="0"/>
          <w:numId w:val="36"/>
        </w:numPr>
        <w:spacing w:after="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Обеспечение способности НКО функционировать в качестве непрерывно действующего предприятия;</w:t>
      </w:r>
    </w:p>
    <w:p w:rsidR="000D43C9" w:rsidRPr="000D43C9" w:rsidRDefault="000D43C9" w:rsidP="000D43C9">
      <w:pPr>
        <w:widowControl w:val="0"/>
        <w:numPr>
          <w:ilvl w:val="0"/>
          <w:numId w:val="36"/>
        </w:numPr>
        <w:spacing w:after="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Поддержание капитальной базы на уровне, необходимом для обеспечения коэффициента достаточности собственных средств в размере 12% в соответствии с </w:t>
      </w:r>
      <w:r w:rsidRPr="000D43C9">
        <w:rPr>
          <w:rFonts w:ascii="Verdana" w:eastAsia="Calibri" w:hAnsi="Verdana" w:cs="Arial"/>
          <w:sz w:val="20"/>
          <w:szCs w:val="20"/>
        </w:rPr>
        <w:t>Положением ЦБ РФ от 28.12.2012г. № 395-П «О методике определения величины и оценке достаточности собственных средств (капитала) кредитных организаций</w:t>
      </w:r>
      <w:r w:rsidRPr="000D43C9">
        <w:rPr>
          <w:rFonts w:ascii="Verdana" w:eastAsia="Calibri" w:hAnsi="Verdana" w:cs="Arial"/>
          <w:sz w:val="20"/>
          <w:szCs w:val="20"/>
        </w:rPr>
        <w:br/>
        <w:t xml:space="preserve">(«Базель </w:t>
      </w:r>
      <w:r w:rsidRPr="000D43C9">
        <w:rPr>
          <w:rFonts w:ascii="Verdana" w:eastAsia="Calibri" w:hAnsi="Verdana" w:cs="Arial"/>
          <w:sz w:val="20"/>
          <w:szCs w:val="20"/>
          <w:lang w:val="en-US"/>
        </w:rPr>
        <w:t>III</w:t>
      </w:r>
      <w:r w:rsidRPr="000D43C9">
        <w:rPr>
          <w:rFonts w:ascii="Verdana" w:eastAsia="Calibri" w:hAnsi="Verdana" w:cs="Arial"/>
          <w:sz w:val="20"/>
          <w:szCs w:val="20"/>
        </w:rPr>
        <w:t>»)»</w:t>
      </w:r>
      <w:r w:rsidRPr="000D43C9">
        <w:rPr>
          <w:rFonts w:ascii="Verdana" w:eastAsia="Times New Roman" w:hAnsi="Verdana" w:cs="Arial"/>
          <w:sz w:val="20"/>
          <w:szCs w:val="20"/>
          <w:lang w:eastAsia="ru-RU"/>
        </w:rPr>
        <w:t>.</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Для реализации и достижения целей по управлению капиталом используются следующие процедуры:</w:t>
      </w:r>
    </w:p>
    <w:p w:rsidR="000D43C9" w:rsidRPr="000D43C9" w:rsidRDefault="000D43C9" w:rsidP="000D43C9">
      <w:pPr>
        <w:widowControl w:val="0"/>
        <w:numPr>
          <w:ilvl w:val="0"/>
          <w:numId w:val="37"/>
        </w:numPr>
        <w:spacing w:after="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Прогнозирование основных показателей деятельности;</w:t>
      </w:r>
    </w:p>
    <w:p w:rsidR="000D43C9" w:rsidRPr="000D43C9" w:rsidRDefault="000D43C9" w:rsidP="000D43C9">
      <w:pPr>
        <w:widowControl w:val="0"/>
        <w:numPr>
          <w:ilvl w:val="0"/>
          <w:numId w:val="37"/>
        </w:numPr>
        <w:spacing w:after="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Планирование потребностей в капитале;</w:t>
      </w:r>
    </w:p>
    <w:p w:rsidR="000D43C9" w:rsidRPr="000D43C9" w:rsidRDefault="000D43C9" w:rsidP="000D43C9">
      <w:pPr>
        <w:widowControl w:val="0"/>
        <w:numPr>
          <w:ilvl w:val="0"/>
          <w:numId w:val="37"/>
        </w:numPr>
        <w:spacing w:after="0" w:line="240" w:lineRule="auto"/>
        <w:rPr>
          <w:rFonts w:ascii="Verdana" w:eastAsia="Calibri" w:hAnsi="Verdana" w:cs="Arial"/>
          <w:sz w:val="20"/>
          <w:szCs w:val="20"/>
        </w:rPr>
      </w:pPr>
      <w:r w:rsidRPr="000D43C9">
        <w:rPr>
          <w:rFonts w:ascii="Verdana" w:eastAsia="Times New Roman" w:hAnsi="Verdana" w:cs="Arial"/>
          <w:sz w:val="20"/>
          <w:szCs w:val="20"/>
          <w:lang w:eastAsia="ru-RU"/>
        </w:rPr>
        <w:t>Мониторинг достаточности</w:t>
      </w:r>
      <w:r w:rsidRPr="000D43C9">
        <w:rPr>
          <w:rFonts w:ascii="Verdana" w:eastAsia="Calibri" w:hAnsi="Verdana" w:cs="Arial"/>
          <w:sz w:val="20"/>
          <w:szCs w:val="20"/>
        </w:rPr>
        <w:t xml:space="preserve"> капитала.</w:t>
      </w:r>
    </w:p>
    <w:p w:rsidR="000D43C9" w:rsidRPr="000D43C9" w:rsidRDefault="000D43C9" w:rsidP="000D43C9">
      <w:pPr>
        <w:widowControl w:val="0"/>
        <w:spacing w:before="240" w:after="240" w:line="240" w:lineRule="auto"/>
        <w:rPr>
          <w:rFonts w:ascii="Verdana" w:eastAsia="Calibri" w:hAnsi="Verdana" w:cs="Arial"/>
          <w:sz w:val="20"/>
          <w:szCs w:val="20"/>
        </w:rPr>
      </w:pPr>
      <w:r w:rsidRPr="000D43C9">
        <w:rPr>
          <w:rFonts w:ascii="Verdana" w:eastAsia="Calibri" w:hAnsi="Verdana" w:cs="Arial"/>
          <w:sz w:val="20"/>
          <w:szCs w:val="20"/>
        </w:rPr>
        <w:t>Расчет капитала НКО производится в соответствии с Положением ЦБ РФ от 28.12.2012г. №</w:t>
      </w:r>
      <w:r w:rsidRPr="000D43C9">
        <w:rPr>
          <w:rFonts w:ascii="Verdana" w:eastAsia="Calibri" w:hAnsi="Verdana" w:cs="Arial"/>
          <w:sz w:val="20"/>
          <w:szCs w:val="20"/>
          <w:lang w:val="en-US"/>
        </w:rPr>
        <w:t> </w:t>
      </w:r>
      <w:r w:rsidRPr="000D43C9">
        <w:rPr>
          <w:rFonts w:ascii="Verdana" w:eastAsia="Calibri" w:hAnsi="Verdana" w:cs="Arial"/>
          <w:sz w:val="20"/>
          <w:szCs w:val="20"/>
        </w:rPr>
        <w:t xml:space="preserve">395-П «О методике определения величины и оценке достаточности собственных средств (капитала) кредитных организаций («Базель </w:t>
      </w:r>
      <w:r w:rsidRPr="000D43C9">
        <w:rPr>
          <w:rFonts w:ascii="Verdana" w:eastAsia="Calibri" w:hAnsi="Verdana" w:cs="Arial"/>
          <w:sz w:val="20"/>
          <w:szCs w:val="20"/>
          <w:lang w:val="en-US"/>
        </w:rPr>
        <w:t>III</w:t>
      </w:r>
      <w:r w:rsidRPr="000D43C9">
        <w:rPr>
          <w:rFonts w:ascii="Verdana" w:eastAsia="Calibri" w:hAnsi="Verdana" w:cs="Arial"/>
          <w:sz w:val="20"/>
          <w:szCs w:val="20"/>
        </w:rPr>
        <w:t>»)».</w:t>
      </w:r>
    </w:p>
    <w:p w:rsidR="000D43C9" w:rsidRPr="000D43C9" w:rsidRDefault="000D43C9" w:rsidP="000D43C9">
      <w:pPr>
        <w:widowControl w:val="0"/>
        <w:spacing w:before="120" w:after="120" w:line="240" w:lineRule="auto"/>
        <w:rPr>
          <w:rFonts w:ascii="Verdana" w:eastAsia="Calibri" w:hAnsi="Verdana" w:cs="Arial"/>
          <w:sz w:val="20"/>
          <w:szCs w:val="20"/>
        </w:rPr>
      </w:pPr>
      <w:r w:rsidRPr="000D43C9">
        <w:rPr>
          <w:rFonts w:ascii="Verdana" w:eastAsia="Calibri" w:hAnsi="Verdana" w:cs="Arial"/>
          <w:sz w:val="20"/>
          <w:szCs w:val="20"/>
        </w:rPr>
        <w:t>Величина собственных средств НКО определяется как сумма основного и дополнительного капиталов. Источниками основного капитала является базовый и добавочный капитал. Базовый капитал складывается из уставного капитала и безвозмездной финансовой помощи, полученной от единственного учредителя. Дополнительный капитал складывается из прибыли текущего года, не подтвержденной аудиторской организацией.</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По состоянию на 01.04.2018 года по данным формы 0409808 «Отчет об уровне достаточности капитала для покрытия рисков, величине резервов на возможные потери по ссудам и иным активам»: базовый капитал – </w:t>
      </w:r>
      <w:bookmarkStart w:id="10" w:name="OLE_LINK17"/>
      <w:bookmarkStart w:id="11" w:name="OLE_LINK18"/>
      <w:r w:rsidRPr="000D43C9">
        <w:rPr>
          <w:rFonts w:ascii="Verdana" w:eastAsia="Times New Roman" w:hAnsi="Verdana" w:cs="Arial"/>
          <w:sz w:val="20"/>
          <w:szCs w:val="20"/>
          <w:lang w:eastAsia="ru-RU"/>
        </w:rPr>
        <w:t xml:space="preserve">157 880 </w:t>
      </w:r>
      <w:bookmarkEnd w:id="10"/>
      <w:bookmarkEnd w:id="11"/>
      <w:r w:rsidRPr="000D43C9">
        <w:rPr>
          <w:rFonts w:ascii="Verdana" w:eastAsia="Times New Roman" w:hAnsi="Verdana" w:cs="Arial"/>
          <w:sz w:val="20"/>
          <w:szCs w:val="20"/>
          <w:lang w:eastAsia="ru-RU"/>
        </w:rPr>
        <w:t>тыс. руб. (на 01.01.2018 года 171 780 тыс. руб.), основной капитал – 157 880 тыс. руб. (на 01.01.2018 года 171 780 тыс. руб.), собственные средства – 157 880 тыс. руб. (на 01.01.2018 года 171 780 тыс. руб.).</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Информация об уровне достаточности капитала с приведением данных бухгалтерского баланса на 01.04.2018г.:</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414"/>
        <w:gridCol w:w="850"/>
        <w:gridCol w:w="974"/>
        <w:gridCol w:w="2693"/>
        <w:gridCol w:w="859"/>
        <w:gridCol w:w="1142"/>
      </w:tblGrid>
      <w:tr w:rsidR="000D43C9" w:rsidRPr="000D43C9" w:rsidTr="000D43C9">
        <w:tc>
          <w:tcPr>
            <w:tcW w:w="680" w:type="dxa"/>
            <w:vMerge w:val="restart"/>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Номер п/п</w:t>
            </w:r>
          </w:p>
        </w:tc>
        <w:tc>
          <w:tcPr>
            <w:tcW w:w="4238" w:type="dxa"/>
            <w:gridSpan w:val="3"/>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Бухгалтерский баланс</w:t>
            </w:r>
          </w:p>
        </w:tc>
        <w:tc>
          <w:tcPr>
            <w:tcW w:w="4694" w:type="dxa"/>
            <w:gridSpan w:val="3"/>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Отчет об уровне достаточности капитала (раздел 1)</w:t>
            </w:r>
          </w:p>
        </w:tc>
      </w:tr>
      <w:tr w:rsidR="000D43C9" w:rsidRPr="000D43C9" w:rsidTr="000D43C9">
        <w:tc>
          <w:tcPr>
            <w:tcW w:w="680" w:type="dxa"/>
            <w:vMerge/>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ind w:firstLine="540"/>
              <w:jc w:val="both"/>
              <w:rPr>
                <w:rFonts w:ascii="Verdana" w:eastAsia="Times New Roman" w:hAnsi="Verdana" w:cs="Arial"/>
                <w:sz w:val="16"/>
                <w:szCs w:val="16"/>
                <w:lang w:eastAsia="ru-RU"/>
              </w:rPr>
            </w:pP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Наименование статьи</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Номер строки</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Данные на отчетную дату</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Наименование показателя</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Номер строки</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Данные на отчетную дату</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2</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3</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4</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5</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6</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7</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"Средства акционеров (участников)", "Эмиссионный доход",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 том числе:</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24, 26</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90 000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1.1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отнесенные в базовый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90 000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"Уставный капитал и эмиссионный доход,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 том числе сформированный:"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90 000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1.2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отнесенные в добавочный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Инструменты добавочного капитала и эмиссионный доход, классифицируемые как капитал"</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31</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1.3</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отнесенные в дополнительный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"Инструменты дополнительного капитала и эмиссионный доход"</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46</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"Средства кредитных организаций", "Средства клиентов, не являющихся кредитными организациями",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 том числе:</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15, 16</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6</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2.1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субординированные кредиты, отнесенные в добавочный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Инструменты добавочного капитала и эмиссионный доход, классифицируемые как обязательства</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32</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2.2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субординированные кредиты, отнесенные в дополнительный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"Инструменты дополнительного капитала и эмиссионный доход", всего</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46</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2.2.1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из них:</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субординированные кредиты</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3</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"Основные средства, нематериальные активы и материальные запасы",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 том числе:</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10</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57 182</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3.1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нематериальные активы, уменьшающие базовый капитал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из них:</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4 303</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bookmarkStart w:id="12" w:name="Par304"/>
            <w:bookmarkEnd w:id="12"/>
            <w:r w:rsidRPr="000D43C9">
              <w:rPr>
                <w:rFonts w:ascii="Verdana" w:eastAsia="Times New Roman" w:hAnsi="Verdana" w:cs="Arial"/>
                <w:sz w:val="16"/>
                <w:szCs w:val="16"/>
                <w:lang w:eastAsia="ru-RU"/>
              </w:rPr>
              <w:t>3.1.1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деловая репутация (</w:t>
            </w:r>
            <w:proofErr w:type="spellStart"/>
            <w:r w:rsidRPr="000D43C9">
              <w:rPr>
                <w:rFonts w:ascii="Verdana" w:eastAsia="Times New Roman" w:hAnsi="Verdana" w:cs="Arial"/>
                <w:sz w:val="16"/>
                <w:szCs w:val="16"/>
                <w:lang w:eastAsia="ru-RU"/>
              </w:rPr>
              <w:t>гудвил</w:t>
            </w:r>
            <w:proofErr w:type="spellEnd"/>
            <w:r w:rsidRPr="000D43C9">
              <w:rPr>
                <w:rFonts w:ascii="Verdana" w:eastAsia="Times New Roman" w:hAnsi="Verdana" w:cs="Arial"/>
                <w:sz w:val="16"/>
                <w:szCs w:val="16"/>
                <w:lang w:eastAsia="ru-RU"/>
              </w:rPr>
              <w:t>) за вычетом отложенных налоговых обязательств</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hyperlink w:anchor="Par358" w:tooltip="5.1" w:history="1">
              <w:r w:rsidRPr="000D43C9">
                <w:rPr>
                  <w:rFonts w:ascii="Verdana" w:eastAsia="Times New Roman" w:hAnsi="Verdana" w:cs="Arial"/>
                  <w:color w:val="0000FF"/>
                  <w:sz w:val="16"/>
                  <w:szCs w:val="16"/>
                  <w:lang w:eastAsia="ru-RU"/>
                </w:rPr>
                <w:t>строка 5.1</w:t>
              </w:r>
            </w:hyperlink>
            <w:r w:rsidRPr="000D43C9">
              <w:rPr>
                <w:rFonts w:ascii="Verdana" w:eastAsia="Times New Roman" w:hAnsi="Verdana" w:cs="Arial"/>
                <w:sz w:val="16"/>
                <w:szCs w:val="16"/>
                <w:lang w:eastAsia="ru-RU"/>
              </w:rPr>
              <w:t xml:space="preserve"> таблицы)</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"Деловая репутация (</w:t>
            </w:r>
            <w:proofErr w:type="spellStart"/>
            <w:r w:rsidRPr="000D43C9">
              <w:rPr>
                <w:rFonts w:ascii="Verdana" w:eastAsia="Times New Roman" w:hAnsi="Verdana" w:cs="Arial"/>
                <w:sz w:val="16"/>
                <w:szCs w:val="16"/>
                <w:lang w:eastAsia="ru-RU"/>
              </w:rPr>
              <w:t>гудвил</w:t>
            </w:r>
            <w:proofErr w:type="spellEnd"/>
            <w:r w:rsidRPr="000D43C9">
              <w:rPr>
                <w:rFonts w:ascii="Verdana" w:eastAsia="Times New Roman" w:hAnsi="Verdana" w:cs="Arial"/>
                <w:sz w:val="16"/>
                <w:szCs w:val="16"/>
                <w:lang w:eastAsia="ru-RU"/>
              </w:rPr>
              <w:t>) за вычетом отложенных налоговых обязательств"</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hyperlink w:anchor="Par358" w:tooltip="5.1" w:history="1">
              <w:r w:rsidRPr="000D43C9">
                <w:rPr>
                  <w:rFonts w:ascii="Verdana" w:eastAsia="Times New Roman" w:hAnsi="Verdana" w:cs="Arial"/>
                  <w:color w:val="0000FF"/>
                  <w:sz w:val="16"/>
                  <w:szCs w:val="16"/>
                  <w:lang w:eastAsia="ru-RU"/>
                </w:rPr>
                <w:t>строка 5.1</w:t>
              </w:r>
            </w:hyperlink>
            <w:r w:rsidRPr="000D43C9">
              <w:rPr>
                <w:rFonts w:ascii="Verdana" w:eastAsia="Times New Roman" w:hAnsi="Verdana" w:cs="Arial"/>
                <w:sz w:val="16"/>
                <w:szCs w:val="16"/>
                <w:lang w:eastAsia="ru-RU"/>
              </w:rPr>
              <w:t xml:space="preserve"> таблицы)</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8</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bookmarkStart w:id="13" w:name="Par313"/>
            <w:bookmarkEnd w:id="13"/>
            <w:r w:rsidRPr="000D43C9">
              <w:rPr>
                <w:rFonts w:ascii="Verdana" w:eastAsia="Times New Roman" w:hAnsi="Verdana" w:cs="Arial"/>
                <w:sz w:val="16"/>
                <w:szCs w:val="16"/>
                <w:lang w:eastAsia="ru-RU"/>
              </w:rPr>
              <w:t>3.1.2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иные нематериальные активы (кроме деловой репутации) за вычетом отложенных налоговых обязательств</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hyperlink w:anchor="Par365" w:tooltip="5.2" w:history="1">
              <w:r w:rsidRPr="000D43C9">
                <w:rPr>
                  <w:rFonts w:ascii="Verdana" w:eastAsia="Times New Roman" w:hAnsi="Verdana" w:cs="Arial"/>
                  <w:color w:val="0000FF"/>
                  <w:sz w:val="16"/>
                  <w:szCs w:val="16"/>
                  <w:lang w:eastAsia="ru-RU"/>
                </w:rPr>
                <w:t>строка 5.2</w:t>
              </w:r>
            </w:hyperlink>
            <w:r w:rsidRPr="000D43C9">
              <w:rPr>
                <w:rFonts w:ascii="Verdana" w:eastAsia="Times New Roman" w:hAnsi="Verdana" w:cs="Arial"/>
                <w:sz w:val="16"/>
                <w:szCs w:val="16"/>
                <w:lang w:eastAsia="ru-RU"/>
              </w:rPr>
              <w:t xml:space="preserve"> таблицы)</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4 303</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"Нематериальные активы (кроме деловой репутации и сумм прав по обслуживанию ипотечных кредитов) за вычетом отложенных налоговых обязательств" (</w:t>
            </w:r>
            <w:hyperlink w:anchor="Par365" w:tooltip="5.2" w:history="1">
              <w:r w:rsidRPr="000D43C9">
                <w:rPr>
                  <w:rFonts w:ascii="Verdana" w:eastAsia="Times New Roman" w:hAnsi="Verdana" w:cs="Arial"/>
                  <w:color w:val="0000FF"/>
                  <w:sz w:val="16"/>
                  <w:szCs w:val="16"/>
                  <w:lang w:eastAsia="ru-RU"/>
                </w:rPr>
                <w:t>строка 5.2</w:t>
              </w:r>
            </w:hyperlink>
            <w:r w:rsidRPr="000D43C9">
              <w:rPr>
                <w:rFonts w:ascii="Verdana" w:eastAsia="Times New Roman" w:hAnsi="Verdana" w:cs="Arial"/>
                <w:sz w:val="16"/>
                <w:szCs w:val="16"/>
                <w:lang w:eastAsia="ru-RU"/>
              </w:rPr>
              <w:t xml:space="preserve"> таблицы)</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9</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4 303</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3.2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нематериальные активы, уменьшающие добавочный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"нематериальные активы", подлежащие поэтапному исключению</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41.1.1</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4</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"Отложенный налоговый актив",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 том числе:</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9</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4.1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отложенные налоговые активы, зависящие от будущей прибыли</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"Отложенные налоговые активы, зависящие от будущей прибыли"</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10</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4.2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отложенные налоговые активы, не зависящие от будущей прибыли</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both"/>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"Отложенные налоговые активы, не зависящие от будущей прибыли"</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21</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5</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"Отложенное налоговое</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обязательство", всего, из них:</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20</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bookmarkStart w:id="14" w:name="Par358"/>
            <w:bookmarkEnd w:id="14"/>
            <w:r w:rsidRPr="000D43C9">
              <w:rPr>
                <w:rFonts w:ascii="Verdana" w:eastAsia="Times New Roman" w:hAnsi="Verdana" w:cs="Arial"/>
                <w:sz w:val="16"/>
                <w:szCs w:val="16"/>
                <w:lang w:eastAsia="ru-RU"/>
              </w:rPr>
              <w:t>5.1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уменьшающее деловую репутацию (</w:t>
            </w:r>
            <w:hyperlink w:anchor="Par304" w:tooltip="3.1.1" w:history="1">
              <w:r w:rsidRPr="000D43C9">
                <w:rPr>
                  <w:rFonts w:ascii="Verdana" w:eastAsia="Times New Roman" w:hAnsi="Verdana" w:cs="Arial"/>
                  <w:color w:val="0000FF"/>
                  <w:sz w:val="16"/>
                  <w:szCs w:val="16"/>
                  <w:lang w:eastAsia="ru-RU"/>
                </w:rPr>
                <w:t>строка 3.1.1</w:t>
              </w:r>
            </w:hyperlink>
            <w:r w:rsidRPr="000D43C9">
              <w:rPr>
                <w:rFonts w:ascii="Verdana" w:eastAsia="Times New Roman" w:hAnsi="Verdana" w:cs="Arial"/>
                <w:sz w:val="16"/>
                <w:szCs w:val="16"/>
                <w:lang w:eastAsia="ru-RU"/>
              </w:rPr>
              <w:t xml:space="preserve"> таблицы)</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bookmarkStart w:id="15" w:name="Par365"/>
            <w:bookmarkEnd w:id="15"/>
            <w:r w:rsidRPr="000D43C9">
              <w:rPr>
                <w:rFonts w:ascii="Verdana" w:eastAsia="Times New Roman" w:hAnsi="Verdana" w:cs="Arial"/>
                <w:sz w:val="16"/>
                <w:szCs w:val="16"/>
                <w:lang w:eastAsia="ru-RU"/>
              </w:rPr>
              <w:t>5.2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уменьшающее иные нематериальные активы (</w:t>
            </w:r>
            <w:hyperlink w:anchor="Par313" w:tooltip="3.1.2" w:history="1">
              <w:r w:rsidRPr="000D43C9">
                <w:rPr>
                  <w:rFonts w:ascii="Verdana" w:eastAsia="Times New Roman" w:hAnsi="Verdana" w:cs="Arial"/>
                  <w:color w:val="0000FF"/>
                  <w:sz w:val="16"/>
                  <w:szCs w:val="16"/>
                  <w:lang w:eastAsia="ru-RU"/>
                </w:rPr>
                <w:t>строка 3.1.2</w:t>
              </w:r>
            </w:hyperlink>
            <w:r w:rsidRPr="000D43C9">
              <w:rPr>
                <w:rFonts w:ascii="Verdana" w:eastAsia="Times New Roman" w:hAnsi="Verdana" w:cs="Arial"/>
                <w:sz w:val="16"/>
                <w:szCs w:val="16"/>
                <w:lang w:eastAsia="ru-RU"/>
              </w:rPr>
              <w:t xml:space="preserve"> таблицы)</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6</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"Собственные акции (доли), выкупленные у акционеров (участников)", всего, в том числе:</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25</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6.1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уменьшающие базовый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"Вложения в собственные акции (доли)"</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16</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6.2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уменьшающие добавочный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"Вложения в собственные инструменты добавочного капитала", "собственные акции (доли), приобретенные (выкупленные) у акционеров (участников)", подлежащие поэтапному исключению</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37, 41.1.2</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6.3</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уменьшающие дополнительный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"Вложения в собственные инструменты дополнительного капитала"</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52</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"Средства в кредитных организациях", "Чистая ссудная задолженность", "Чистые вложения в ценные бумаги и другие финансовые активы, имеющиеся в наличии для продажи", "Чистые вложения в ценные бумаги, удерживаемые до погашения",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 том числе:</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3, 5, 6, 7</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94 872</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несущественные вложения в базовый капитал финансовых организаций</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"Несущественные вложения в инструменты базового капитала финансовых организаций"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18</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существенные вложения в базовый капитал финансовых организаций</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"Существенные вложения в инструменты базового капитала финансовых организаций"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19</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7.3</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несущественные вложения в добавочный капитал финансовых организаций</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"Несущественные вложения в инструменты добавочного капитала финансовых организаций"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39</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7.4</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существенные вложения в добавочный капитал финансовых организаций</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"Существенные вложения в инструменты добавочного капитала финансовых организаций"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40</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7.5</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несущественные вложения в дополнительный капитал финансовых организаций</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"Несущественные вложения в инструменты дополнительного капитала финансовых организаций"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54</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7.6</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существенные вложения в дополнительный капитал финансовых организаций</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"Существенные вложения в инструменты дополнительного капитала финансовых организаций"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55</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bl>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Информация об уровне достаточности капитала с приведением данных бухгалтерского баланса на 01.01.2018г.:</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414"/>
        <w:gridCol w:w="850"/>
        <w:gridCol w:w="974"/>
        <w:gridCol w:w="2693"/>
        <w:gridCol w:w="859"/>
        <w:gridCol w:w="1142"/>
      </w:tblGrid>
      <w:tr w:rsidR="000D43C9" w:rsidRPr="000D43C9" w:rsidTr="000D43C9">
        <w:tc>
          <w:tcPr>
            <w:tcW w:w="680" w:type="dxa"/>
            <w:vMerge w:val="restart"/>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Номер п/п</w:t>
            </w:r>
          </w:p>
        </w:tc>
        <w:tc>
          <w:tcPr>
            <w:tcW w:w="4238" w:type="dxa"/>
            <w:gridSpan w:val="3"/>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Бухгалтерский баланс</w:t>
            </w:r>
          </w:p>
        </w:tc>
        <w:tc>
          <w:tcPr>
            <w:tcW w:w="4694" w:type="dxa"/>
            <w:gridSpan w:val="3"/>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Отчет об уровне достаточности капитала (раздел 1)</w:t>
            </w:r>
          </w:p>
        </w:tc>
      </w:tr>
      <w:tr w:rsidR="000D43C9" w:rsidRPr="000D43C9" w:rsidTr="000D43C9">
        <w:tc>
          <w:tcPr>
            <w:tcW w:w="680" w:type="dxa"/>
            <w:vMerge/>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ind w:firstLine="540"/>
              <w:jc w:val="both"/>
              <w:rPr>
                <w:rFonts w:ascii="Verdana" w:eastAsia="Times New Roman" w:hAnsi="Verdana" w:cs="Arial"/>
                <w:sz w:val="16"/>
                <w:szCs w:val="16"/>
                <w:lang w:eastAsia="ru-RU"/>
              </w:rPr>
            </w:pP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Наименование статьи</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Номер строки</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Данные на отчетную дату</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Наименование показателя</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Номер строки</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Данные на отчетную дату</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2</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3</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4</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5</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6</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7</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"Средства акционеров (участников)", "Эмиссионный доход",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 том числе:</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24, 26</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90 000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1.1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отнесенные в базовый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90 000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"Уставный капитал и эмиссионный доход,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 том числе сформированный:"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90 000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1.2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отнесенные в добавочный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Инструменты добавочного капитала и эмиссионный доход, классифицируемые как капитал"</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31</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1.3</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отнесенные в дополнительный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"Инструменты дополнительного капитала и эмиссионный доход"</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46</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"Средства кредитных организаций", "Средства клиентов, не являющихся кредитными организациями",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 том числе:</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15, 16</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6</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2.1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субординированные кредиты, отнесенные в добавочный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Инструменты добавочного капитала и эмиссионный доход, классифицируемые как обязательства</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32</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2.2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субординированные кредиты, отнесенные в дополнительный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"Инструменты дополнительного капитала и эмиссионный доход", всего</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46</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2.2.1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из них:</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субординированные кредиты</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3</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"Основные средства, нематериальные активы и материальные запасы",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 том числе:</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10</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58 803</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3.1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нематериальные активы, уменьшающие базовый капитал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из них:</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3 570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3.1.1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деловая репутация (</w:t>
            </w:r>
            <w:proofErr w:type="spellStart"/>
            <w:r w:rsidRPr="000D43C9">
              <w:rPr>
                <w:rFonts w:ascii="Verdana" w:eastAsia="Times New Roman" w:hAnsi="Verdana" w:cs="Arial"/>
                <w:sz w:val="16"/>
                <w:szCs w:val="16"/>
                <w:lang w:eastAsia="ru-RU"/>
              </w:rPr>
              <w:t>гудвил</w:t>
            </w:r>
            <w:proofErr w:type="spellEnd"/>
            <w:r w:rsidRPr="000D43C9">
              <w:rPr>
                <w:rFonts w:ascii="Verdana" w:eastAsia="Times New Roman" w:hAnsi="Verdana" w:cs="Arial"/>
                <w:sz w:val="16"/>
                <w:szCs w:val="16"/>
                <w:lang w:eastAsia="ru-RU"/>
              </w:rPr>
              <w:t>) за вычетом отложенных налоговых обязательств</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hyperlink w:anchor="Par358" w:tooltip="5.1" w:history="1">
              <w:r w:rsidRPr="000D43C9">
                <w:rPr>
                  <w:rFonts w:ascii="Verdana" w:eastAsia="Times New Roman" w:hAnsi="Verdana" w:cs="Arial"/>
                  <w:color w:val="0000FF"/>
                  <w:sz w:val="16"/>
                  <w:szCs w:val="16"/>
                  <w:lang w:eastAsia="ru-RU"/>
                </w:rPr>
                <w:t>строка 5.1</w:t>
              </w:r>
            </w:hyperlink>
            <w:r w:rsidRPr="000D43C9">
              <w:rPr>
                <w:rFonts w:ascii="Verdana" w:eastAsia="Times New Roman" w:hAnsi="Verdana" w:cs="Arial"/>
                <w:sz w:val="16"/>
                <w:szCs w:val="16"/>
                <w:lang w:eastAsia="ru-RU"/>
              </w:rPr>
              <w:t xml:space="preserve"> таблицы)</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"Деловая репутация (</w:t>
            </w:r>
            <w:proofErr w:type="spellStart"/>
            <w:r w:rsidRPr="000D43C9">
              <w:rPr>
                <w:rFonts w:ascii="Verdana" w:eastAsia="Times New Roman" w:hAnsi="Verdana" w:cs="Arial"/>
                <w:sz w:val="16"/>
                <w:szCs w:val="16"/>
                <w:lang w:eastAsia="ru-RU"/>
              </w:rPr>
              <w:t>гудвил</w:t>
            </w:r>
            <w:proofErr w:type="spellEnd"/>
            <w:r w:rsidRPr="000D43C9">
              <w:rPr>
                <w:rFonts w:ascii="Verdana" w:eastAsia="Times New Roman" w:hAnsi="Verdana" w:cs="Arial"/>
                <w:sz w:val="16"/>
                <w:szCs w:val="16"/>
                <w:lang w:eastAsia="ru-RU"/>
              </w:rPr>
              <w:t>) за вычетом отложенных налоговых обязательств"</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hyperlink w:anchor="Par358" w:tooltip="5.1" w:history="1">
              <w:r w:rsidRPr="000D43C9">
                <w:rPr>
                  <w:rFonts w:ascii="Verdana" w:eastAsia="Times New Roman" w:hAnsi="Verdana" w:cs="Arial"/>
                  <w:color w:val="0000FF"/>
                  <w:sz w:val="16"/>
                  <w:szCs w:val="16"/>
                  <w:lang w:eastAsia="ru-RU"/>
                </w:rPr>
                <w:t>строка 5.1</w:t>
              </w:r>
            </w:hyperlink>
            <w:r w:rsidRPr="000D43C9">
              <w:rPr>
                <w:rFonts w:ascii="Verdana" w:eastAsia="Times New Roman" w:hAnsi="Verdana" w:cs="Arial"/>
                <w:sz w:val="16"/>
                <w:szCs w:val="16"/>
                <w:lang w:eastAsia="ru-RU"/>
              </w:rPr>
              <w:t xml:space="preserve"> таблицы)</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8</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3.1.2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иные нематериальные активы (кроме деловой репутации) за вычетом отложенных налоговых обязательств</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hyperlink w:anchor="Par365" w:tooltip="5.2" w:history="1">
              <w:r w:rsidRPr="000D43C9">
                <w:rPr>
                  <w:rFonts w:ascii="Verdana" w:eastAsia="Times New Roman" w:hAnsi="Verdana" w:cs="Arial"/>
                  <w:color w:val="0000FF"/>
                  <w:sz w:val="16"/>
                  <w:szCs w:val="16"/>
                  <w:lang w:eastAsia="ru-RU"/>
                </w:rPr>
                <w:t>строка 5.2</w:t>
              </w:r>
            </w:hyperlink>
            <w:r w:rsidRPr="000D43C9">
              <w:rPr>
                <w:rFonts w:ascii="Verdana" w:eastAsia="Times New Roman" w:hAnsi="Verdana" w:cs="Arial"/>
                <w:sz w:val="16"/>
                <w:szCs w:val="16"/>
                <w:lang w:eastAsia="ru-RU"/>
              </w:rPr>
              <w:t xml:space="preserve"> таблицы)</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3 570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"Нематериальные активы (кроме деловой репутации и сумм прав по обслуживанию ипотечных кредитов) за вычетом отложенных налоговых обязательств" (</w:t>
            </w:r>
            <w:hyperlink w:anchor="Par365" w:tooltip="5.2" w:history="1">
              <w:r w:rsidRPr="000D43C9">
                <w:rPr>
                  <w:rFonts w:ascii="Verdana" w:eastAsia="Times New Roman" w:hAnsi="Verdana" w:cs="Arial"/>
                  <w:color w:val="0000FF"/>
                  <w:sz w:val="16"/>
                  <w:szCs w:val="16"/>
                  <w:lang w:eastAsia="ru-RU"/>
                </w:rPr>
                <w:t>строка 5.2</w:t>
              </w:r>
            </w:hyperlink>
            <w:r w:rsidRPr="000D43C9">
              <w:rPr>
                <w:rFonts w:ascii="Verdana" w:eastAsia="Times New Roman" w:hAnsi="Verdana" w:cs="Arial"/>
                <w:sz w:val="16"/>
                <w:szCs w:val="16"/>
                <w:lang w:eastAsia="ru-RU"/>
              </w:rPr>
              <w:t xml:space="preserve"> таблицы)</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9</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3 570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3.2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нематериальные активы, уменьшающие добавочный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893</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"нематериальные активы", подлежащие поэтапному исключению</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41.1.1</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893</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4</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"Отложенный налоговый актив",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 том числе:</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9</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4.1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отложенные налоговые активы, зависящие от будущей прибыли</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"Отложенные налоговые активы, зависящие от будущей прибыли"</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10</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4.2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отложенные налоговые активы, не зависящие от будущей прибыли</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both"/>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"Отложенные налоговые активы, не зависящие от будущей прибыли"</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21</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5</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"Отложенное налоговое</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обязательство", всего, из них:</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20</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5.1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уменьшающее деловую репутацию (</w:t>
            </w:r>
            <w:hyperlink w:anchor="Par304" w:tooltip="3.1.1" w:history="1">
              <w:r w:rsidRPr="000D43C9">
                <w:rPr>
                  <w:rFonts w:ascii="Verdana" w:eastAsia="Times New Roman" w:hAnsi="Verdana" w:cs="Arial"/>
                  <w:color w:val="0000FF"/>
                  <w:sz w:val="16"/>
                  <w:szCs w:val="16"/>
                  <w:lang w:eastAsia="ru-RU"/>
                </w:rPr>
                <w:t>строка 3.1.1</w:t>
              </w:r>
            </w:hyperlink>
            <w:r w:rsidRPr="000D43C9">
              <w:rPr>
                <w:rFonts w:ascii="Verdana" w:eastAsia="Times New Roman" w:hAnsi="Verdana" w:cs="Arial"/>
                <w:sz w:val="16"/>
                <w:szCs w:val="16"/>
                <w:lang w:eastAsia="ru-RU"/>
              </w:rPr>
              <w:t xml:space="preserve"> таблицы)</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5.2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уменьшающее иные нематериальные активы (</w:t>
            </w:r>
            <w:hyperlink w:anchor="Par313" w:tooltip="3.1.2" w:history="1">
              <w:r w:rsidRPr="000D43C9">
                <w:rPr>
                  <w:rFonts w:ascii="Verdana" w:eastAsia="Times New Roman" w:hAnsi="Verdana" w:cs="Arial"/>
                  <w:color w:val="0000FF"/>
                  <w:sz w:val="16"/>
                  <w:szCs w:val="16"/>
                  <w:lang w:eastAsia="ru-RU"/>
                </w:rPr>
                <w:t>строка 3.1.2</w:t>
              </w:r>
            </w:hyperlink>
            <w:r w:rsidRPr="000D43C9">
              <w:rPr>
                <w:rFonts w:ascii="Verdana" w:eastAsia="Times New Roman" w:hAnsi="Verdana" w:cs="Arial"/>
                <w:sz w:val="16"/>
                <w:szCs w:val="16"/>
                <w:lang w:eastAsia="ru-RU"/>
              </w:rPr>
              <w:t xml:space="preserve"> таблицы)</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6</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"Собственные акции (доли), выкупленные у акционеров (участников)", всего, в том числе:</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25</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6.1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уменьшающие базовый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"Вложения в собственные акции (доли)"</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16</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6.2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уменьшающие добавочный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"Вложения в собственные инструменты добавочного капитала", "собственные акции (доли), приобретенные (выкупленные) у акционеров (участников)", подлежащие поэтапному исключению</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37, 41.1.2</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6.3</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уменьшающие дополнительный капитал</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"Вложения в собственные инструменты дополнительного капитала"</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52</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"Средства в кредитных организациях", "Чистая ссудная задолженность", "Чистые вложения в ценные бумаги и другие финансовые активы, имеющиеся в наличии для продажи", "Чистые вложения в ценные бумаги, удерживаемые до погашения", всего,</w:t>
            </w:r>
          </w:p>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в том числе:</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3, 5, 6, 7</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98 610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X</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7.1</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несущественные вложения в базовый капитал финансовых организаций</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"Несущественные вложения в инструменты базового капитала финансовых организаций"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18</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7.2</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существенные вложения в базовый капитал финансовых организаций</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"Существенные вложения в инструменты базового капитала финансовых организаций"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19</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7.3</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несущественные вложения в добавочный капитал финансовых организаций</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"Несущественные вложения в инструменты добавочного капитала финансовых организаций"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39</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7.4</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существенные вложения в добавочный капитал финансовых организаций</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"Существенные вложения в инструменты добавочного капитала финансовых организаций"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40</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7.5</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несущественные вложения в дополнительный капитал финансовых организаций</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"Несущественные вложения в инструменты дополнительного капитала финансовых организаций"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54</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r w:rsidR="000D43C9" w:rsidRPr="000D43C9" w:rsidTr="000D43C9">
        <w:tc>
          <w:tcPr>
            <w:tcW w:w="68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7.6</w:t>
            </w:r>
          </w:p>
        </w:tc>
        <w:tc>
          <w:tcPr>
            <w:tcW w:w="241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существенные вложения в дополнительный капитал финансовых организаций</w:t>
            </w:r>
          </w:p>
        </w:tc>
        <w:tc>
          <w:tcPr>
            <w:tcW w:w="850"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X</w:t>
            </w:r>
          </w:p>
        </w:tc>
        <w:tc>
          <w:tcPr>
            <w:tcW w:w="974"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c>
          <w:tcPr>
            <w:tcW w:w="2693"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rPr>
                <w:rFonts w:ascii="Verdana" w:eastAsia="Times New Roman" w:hAnsi="Verdana" w:cs="Arial"/>
                <w:sz w:val="16"/>
                <w:szCs w:val="16"/>
                <w:lang w:eastAsia="ru-RU"/>
              </w:rPr>
            </w:pPr>
            <w:r w:rsidRPr="000D43C9">
              <w:rPr>
                <w:rFonts w:ascii="Verdana" w:eastAsia="Times New Roman" w:hAnsi="Verdana" w:cs="Arial"/>
                <w:sz w:val="16"/>
                <w:szCs w:val="16"/>
                <w:lang w:eastAsia="ru-RU"/>
              </w:rPr>
              <w:t>"Существенные вложения в инструменты дополнительного капитала финансовых организаций"</w:t>
            </w:r>
          </w:p>
        </w:tc>
        <w:tc>
          <w:tcPr>
            <w:tcW w:w="859"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sz w:val="16"/>
                <w:szCs w:val="16"/>
                <w:lang w:eastAsia="ru-RU"/>
              </w:rPr>
            </w:pPr>
            <w:r w:rsidRPr="000D43C9">
              <w:rPr>
                <w:rFonts w:ascii="Verdana" w:eastAsia="Times New Roman" w:hAnsi="Verdana" w:cs="Arial"/>
                <w:sz w:val="16"/>
                <w:szCs w:val="16"/>
                <w:lang w:eastAsia="ru-RU"/>
              </w:rPr>
              <w:t>55</w:t>
            </w:r>
          </w:p>
        </w:tc>
        <w:tc>
          <w:tcPr>
            <w:tcW w:w="1142" w:type="dxa"/>
            <w:tcBorders>
              <w:top w:val="single" w:sz="4" w:space="0" w:color="auto"/>
              <w:left w:val="single" w:sz="4" w:space="0" w:color="auto"/>
              <w:bottom w:val="single" w:sz="4" w:space="0" w:color="auto"/>
              <w:right w:val="single" w:sz="4" w:space="0" w:color="auto"/>
            </w:tcBorders>
          </w:tcPr>
          <w:p w:rsidR="000D43C9" w:rsidRPr="000D43C9" w:rsidRDefault="000D43C9" w:rsidP="000D43C9">
            <w:pPr>
              <w:autoSpaceDE w:val="0"/>
              <w:autoSpaceDN w:val="0"/>
              <w:adjustRightInd w:val="0"/>
              <w:spacing w:after="0" w:line="240" w:lineRule="auto"/>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0</w:t>
            </w:r>
          </w:p>
        </w:tc>
      </w:tr>
    </w:tbl>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Calibri" w:hAnsi="Verdana" w:cs="Arial"/>
          <w:sz w:val="20"/>
          <w:szCs w:val="20"/>
        </w:rPr>
        <w:t xml:space="preserve">По состоянию на 01.01.2018 года и 01.04.2018 года у </w:t>
      </w:r>
      <w:r w:rsidRPr="000D43C9">
        <w:rPr>
          <w:rFonts w:ascii="Verdana" w:eastAsia="Times New Roman" w:hAnsi="Verdana" w:cs="Arial"/>
          <w:sz w:val="20"/>
          <w:szCs w:val="20"/>
          <w:lang w:eastAsia="ru-RU"/>
        </w:rPr>
        <w:t>НКО были отражены в составе капитала убытки от обесценения по сформированным резервам по прочим активам на 49 тыс. руб. и 1 031 тыс. руб. соответственно.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Оценка качества собственных средств (капитала) НКО позволяет сделать вывод, что при формировании уставного капитала и иных источников собственных средств (капитала) не были использованы ненадлежащие активы, которые подлежат исключению из расчета собственных средств (капитала) в соответствии с требованиями Банка России.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Расчет обязательных нормативов НКО производится в соответствии с Инструкцией Банка России от 26.04.2006г. № 129-И «О банковских операциях и других сделках расчетных небанковских кредитных организаций, обязательных нормативах расчетных небанковских кредитных организаций и особенностях осуществления Банком России надзора за их соблюдением».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В связи со спецификой деятельности НКО подлежат расчету:</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1.</w:t>
      </w:r>
      <w:r w:rsidRPr="000D43C9">
        <w:rPr>
          <w:rFonts w:ascii="Verdana" w:eastAsia="Times New Roman" w:hAnsi="Verdana" w:cs="Arial"/>
          <w:sz w:val="20"/>
          <w:szCs w:val="20"/>
          <w:lang w:eastAsia="ru-RU"/>
        </w:rPr>
        <w:tab/>
        <w:t>Норматив достаточности собственных средств (капитала) РНКО (Н1.0).</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2.</w:t>
      </w:r>
      <w:r w:rsidRPr="000D43C9">
        <w:rPr>
          <w:rFonts w:ascii="Verdana" w:eastAsia="Times New Roman" w:hAnsi="Verdana" w:cs="Arial"/>
          <w:sz w:val="20"/>
          <w:szCs w:val="20"/>
          <w:lang w:eastAsia="ru-RU"/>
        </w:rPr>
        <w:tab/>
        <w:t>Норматив соотношения суммы ликвидных активов сроком исполнения в ближайшие 30 календарных дней к сумме обязательств РНКО - норматив текущей ликвидности РНКО (Н15)</w:t>
      </w:r>
    </w:p>
    <w:p w:rsidR="000D43C9" w:rsidRPr="000D43C9" w:rsidRDefault="000D43C9" w:rsidP="000D43C9">
      <w:pPr>
        <w:autoSpaceDE w:val="0"/>
        <w:autoSpaceDN w:val="0"/>
        <w:adjustRightInd w:val="0"/>
        <w:spacing w:after="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3.</w:t>
      </w:r>
      <w:r w:rsidRPr="000D43C9">
        <w:rPr>
          <w:rFonts w:ascii="Verdana" w:eastAsia="Times New Roman" w:hAnsi="Verdana" w:cs="Arial"/>
          <w:sz w:val="20"/>
          <w:szCs w:val="20"/>
          <w:lang w:eastAsia="ru-RU"/>
        </w:rPr>
        <w:tab/>
        <w:t>Н</w:t>
      </w:r>
      <w:r w:rsidRPr="000D43C9">
        <w:rPr>
          <w:rFonts w:ascii="Verdana" w:eastAsia="Calibri" w:hAnsi="Verdana" w:cs="Arial"/>
          <w:sz w:val="20"/>
          <w:szCs w:val="20"/>
        </w:rPr>
        <w:t>орматив максимального размера риска на одного заемщика или группу связанных заемщиков (Н6)</w:t>
      </w:r>
      <w:r w:rsidRPr="000D43C9">
        <w:rPr>
          <w:rFonts w:ascii="Verdana" w:eastAsia="Times New Roman" w:hAnsi="Verdana" w:cs="Arial"/>
          <w:sz w:val="20"/>
          <w:szCs w:val="20"/>
          <w:lang w:eastAsia="ru-RU"/>
        </w:rPr>
        <w:t>.</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В течение 2017 года и по состоянию на 01.04.2018 года НКО соблюдала все установленные Банком России обязательные нормативы и выполняла резервные требования.</w:t>
      </w:r>
    </w:p>
    <w:p w:rsidR="000D43C9" w:rsidRPr="000D43C9" w:rsidRDefault="000D43C9" w:rsidP="000D43C9">
      <w:pPr>
        <w:widowControl w:val="0"/>
        <w:spacing w:before="240" w:after="240" w:line="240" w:lineRule="auto"/>
        <w:rPr>
          <w:rFonts w:ascii="Verdana" w:eastAsia="Calibri" w:hAnsi="Verdana" w:cs="Arial"/>
          <w:sz w:val="20"/>
          <w:szCs w:val="20"/>
        </w:rPr>
      </w:pPr>
      <w:r w:rsidRPr="000D43C9">
        <w:rPr>
          <w:rFonts w:ascii="Verdana" w:eastAsia="Calibri" w:hAnsi="Verdana" w:cs="Arial"/>
          <w:sz w:val="20"/>
          <w:szCs w:val="20"/>
        </w:rPr>
        <w:t>Контроль за выполнением данных нормативов осуществляется на ежедневной основе с формированием ежемесячных отчетов, содержащих соответствующие расчеты, направляемых Банку России.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Из таблицы, представленной ниже, следует, что все значения нормативов НКО находятся в рамках допустимых значений. Нормативы ликвидности и достаточности капитала значительно превышают минимальные значения.</w:t>
      </w:r>
    </w:p>
    <w:tbl>
      <w:tblPr>
        <w:tblW w:w="6632" w:type="dxa"/>
        <w:tblInd w:w="103" w:type="dxa"/>
        <w:tblLook w:val="04A0" w:firstRow="1" w:lastRow="0" w:firstColumn="1" w:lastColumn="0" w:noHBand="0" w:noVBand="1"/>
      </w:tblPr>
      <w:tblGrid>
        <w:gridCol w:w="517"/>
        <w:gridCol w:w="1727"/>
        <w:gridCol w:w="1523"/>
        <w:gridCol w:w="1418"/>
        <w:gridCol w:w="1447"/>
      </w:tblGrid>
      <w:tr w:rsidR="000D43C9" w:rsidRPr="000D43C9" w:rsidTr="000D43C9">
        <w:trPr>
          <w:trHeight w:val="340"/>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jc w:val="center"/>
              <w:rPr>
                <w:rFonts w:ascii="Verdana" w:eastAsia="Times New Roman" w:hAnsi="Verdana" w:cs="Times New Roman"/>
                <w:b/>
                <w:sz w:val="16"/>
                <w:szCs w:val="16"/>
                <w:lang w:eastAsia="ru-RU"/>
              </w:rPr>
            </w:pP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jc w:val="center"/>
              <w:rPr>
                <w:rFonts w:ascii="Verdana" w:eastAsia="Times New Roman" w:hAnsi="Verdana" w:cs="Times New Roman"/>
                <w:b/>
                <w:sz w:val="16"/>
                <w:szCs w:val="16"/>
                <w:lang w:eastAsia="ru-RU"/>
              </w:rPr>
            </w:pPr>
            <w:r w:rsidRPr="000D43C9">
              <w:rPr>
                <w:rFonts w:ascii="Verdana" w:eastAsia="Times New Roman" w:hAnsi="Verdana" w:cs="Times New Roman"/>
                <w:b/>
                <w:sz w:val="16"/>
                <w:szCs w:val="16"/>
                <w:lang w:eastAsia="ru-RU"/>
              </w:rPr>
              <w:t>Норматив</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jc w:val="center"/>
              <w:rPr>
                <w:rFonts w:ascii="Verdana" w:eastAsia="Times New Roman" w:hAnsi="Verdana" w:cs="Times New Roman"/>
                <w:b/>
                <w:sz w:val="16"/>
                <w:szCs w:val="16"/>
                <w:lang w:eastAsia="ru-RU"/>
              </w:rPr>
            </w:pPr>
            <w:r w:rsidRPr="000D43C9">
              <w:rPr>
                <w:rFonts w:ascii="Verdana" w:eastAsia="Times New Roman" w:hAnsi="Verdana" w:cs="Times New Roman"/>
                <w:b/>
                <w:sz w:val="16"/>
                <w:szCs w:val="16"/>
                <w:lang w:eastAsia="ru-RU"/>
              </w:rPr>
              <w:t>На 01.04.2018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jc w:val="center"/>
              <w:rPr>
                <w:rFonts w:ascii="Verdana" w:eastAsia="Times New Roman" w:hAnsi="Verdana" w:cs="Times New Roman"/>
                <w:b/>
                <w:sz w:val="16"/>
                <w:szCs w:val="16"/>
                <w:lang w:eastAsia="ru-RU"/>
              </w:rPr>
            </w:pPr>
            <w:r w:rsidRPr="000D43C9">
              <w:rPr>
                <w:rFonts w:ascii="Verdana" w:eastAsia="Times New Roman" w:hAnsi="Verdana" w:cs="Times New Roman"/>
                <w:b/>
                <w:sz w:val="16"/>
                <w:szCs w:val="16"/>
                <w:lang w:eastAsia="ru-RU"/>
              </w:rPr>
              <w:t>На 01.01.2018</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jc w:val="center"/>
              <w:rPr>
                <w:rFonts w:ascii="Verdana" w:eastAsia="Times New Roman" w:hAnsi="Verdana" w:cs="Times New Roman"/>
                <w:b/>
                <w:sz w:val="16"/>
                <w:szCs w:val="16"/>
                <w:lang w:eastAsia="ru-RU"/>
              </w:rPr>
            </w:pPr>
            <w:r w:rsidRPr="000D43C9">
              <w:rPr>
                <w:rFonts w:ascii="Verdana" w:eastAsia="Times New Roman" w:hAnsi="Verdana" w:cs="Times New Roman"/>
                <w:b/>
                <w:sz w:val="16"/>
                <w:szCs w:val="16"/>
                <w:lang w:eastAsia="ru-RU"/>
              </w:rPr>
              <w:t>Допустимое значение</w:t>
            </w:r>
          </w:p>
        </w:tc>
      </w:tr>
      <w:tr w:rsidR="000D43C9" w:rsidRPr="000D43C9" w:rsidTr="000D43C9">
        <w:trPr>
          <w:trHeight w:val="255"/>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rPr>
                <w:rFonts w:ascii="Verdana" w:eastAsia="Times New Roman" w:hAnsi="Verdana" w:cs="Times New Roman"/>
                <w:sz w:val="16"/>
                <w:szCs w:val="16"/>
                <w:lang w:eastAsia="ru-RU"/>
              </w:rPr>
            </w:pPr>
            <w:r w:rsidRPr="000D43C9">
              <w:rPr>
                <w:rFonts w:ascii="Verdana" w:eastAsia="Times New Roman" w:hAnsi="Verdana" w:cs="Times New Roman"/>
                <w:sz w:val="16"/>
                <w:szCs w:val="16"/>
                <w:lang w:eastAsia="ru-RU"/>
              </w:rPr>
              <w:t>1</w:t>
            </w:r>
          </w:p>
        </w:tc>
        <w:tc>
          <w:tcPr>
            <w:tcW w:w="1727" w:type="dxa"/>
            <w:tcBorders>
              <w:top w:val="nil"/>
              <w:left w:val="nil"/>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jc w:val="center"/>
              <w:rPr>
                <w:rFonts w:ascii="Verdana" w:eastAsia="Times New Roman" w:hAnsi="Verdana" w:cs="Times New Roman"/>
                <w:sz w:val="16"/>
                <w:szCs w:val="16"/>
                <w:lang w:eastAsia="ru-RU"/>
              </w:rPr>
            </w:pPr>
            <w:r w:rsidRPr="000D43C9">
              <w:rPr>
                <w:rFonts w:ascii="Verdana" w:eastAsia="Times New Roman" w:hAnsi="Verdana" w:cs="Times New Roman"/>
                <w:sz w:val="16"/>
                <w:szCs w:val="16"/>
                <w:lang w:eastAsia="ru-RU"/>
              </w:rPr>
              <w:t>Н1.0</w:t>
            </w:r>
          </w:p>
        </w:tc>
        <w:tc>
          <w:tcPr>
            <w:tcW w:w="1523" w:type="dxa"/>
            <w:tcBorders>
              <w:top w:val="nil"/>
              <w:left w:val="single" w:sz="4" w:space="0" w:color="auto"/>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jc w:val="right"/>
              <w:rPr>
                <w:rFonts w:ascii="Verdana" w:eastAsia="Times New Roman" w:hAnsi="Verdana" w:cs="Times New Roman"/>
                <w:sz w:val="16"/>
                <w:szCs w:val="16"/>
                <w:lang w:eastAsia="ru-RU"/>
              </w:rPr>
            </w:pPr>
            <w:r w:rsidRPr="000D43C9">
              <w:rPr>
                <w:rFonts w:ascii="Verdana" w:eastAsia="Times New Roman" w:hAnsi="Verdana" w:cs="Times New Roman"/>
                <w:sz w:val="16"/>
                <w:szCs w:val="16"/>
                <w:lang w:eastAsia="ru-RU"/>
              </w:rPr>
              <w:t>95,3%</w:t>
            </w:r>
          </w:p>
        </w:tc>
        <w:tc>
          <w:tcPr>
            <w:tcW w:w="1418" w:type="dxa"/>
            <w:tcBorders>
              <w:top w:val="nil"/>
              <w:left w:val="nil"/>
              <w:bottom w:val="single" w:sz="4" w:space="0" w:color="auto"/>
              <w:right w:val="single" w:sz="4" w:space="0" w:color="auto"/>
            </w:tcBorders>
            <w:shd w:val="clear" w:color="auto" w:fill="auto"/>
            <w:noWrap/>
            <w:vAlign w:val="center"/>
            <w:hideMark/>
          </w:tcPr>
          <w:p w:rsidR="000D43C9" w:rsidRPr="000D43C9" w:rsidRDefault="000D43C9" w:rsidP="000D43C9">
            <w:pPr>
              <w:spacing w:after="0" w:line="240" w:lineRule="auto"/>
              <w:jc w:val="right"/>
              <w:rPr>
                <w:rFonts w:ascii="Verdana" w:eastAsia="Times New Roman" w:hAnsi="Verdana" w:cs="Times New Roman"/>
                <w:sz w:val="16"/>
                <w:szCs w:val="16"/>
                <w:lang w:val="en-US" w:eastAsia="ru-RU"/>
              </w:rPr>
            </w:pPr>
            <w:r w:rsidRPr="000D43C9">
              <w:rPr>
                <w:rFonts w:ascii="Verdana" w:eastAsia="Times New Roman" w:hAnsi="Verdana" w:cs="Times New Roman"/>
                <w:sz w:val="16"/>
                <w:szCs w:val="16"/>
                <w:lang w:eastAsia="ru-RU"/>
              </w:rPr>
              <w:t>134,2</w:t>
            </w:r>
            <w:r w:rsidRPr="000D43C9">
              <w:rPr>
                <w:rFonts w:ascii="Verdana" w:eastAsia="Times New Roman" w:hAnsi="Verdana" w:cs="Times New Roman"/>
                <w:sz w:val="16"/>
                <w:szCs w:val="16"/>
                <w:lang w:val="en-US" w:eastAsia="ru-RU"/>
              </w:rPr>
              <w:t>%</w:t>
            </w:r>
          </w:p>
        </w:tc>
        <w:tc>
          <w:tcPr>
            <w:tcW w:w="1447" w:type="dxa"/>
            <w:tcBorders>
              <w:top w:val="nil"/>
              <w:left w:val="nil"/>
              <w:bottom w:val="single" w:sz="4" w:space="0" w:color="auto"/>
              <w:right w:val="single" w:sz="4" w:space="0" w:color="auto"/>
            </w:tcBorders>
            <w:shd w:val="clear" w:color="auto" w:fill="auto"/>
            <w:noWrap/>
            <w:vAlign w:val="center"/>
            <w:hideMark/>
          </w:tcPr>
          <w:p w:rsidR="000D43C9" w:rsidRPr="000D43C9" w:rsidRDefault="000D43C9" w:rsidP="000D43C9">
            <w:pPr>
              <w:spacing w:after="0" w:line="240" w:lineRule="auto"/>
              <w:rPr>
                <w:rFonts w:ascii="Verdana" w:eastAsia="Times New Roman" w:hAnsi="Verdana" w:cs="Times New Roman"/>
                <w:sz w:val="16"/>
                <w:szCs w:val="16"/>
                <w:lang w:eastAsia="ru-RU"/>
              </w:rPr>
            </w:pPr>
            <w:r w:rsidRPr="000D43C9">
              <w:rPr>
                <w:rFonts w:ascii="Verdana" w:eastAsia="Times New Roman" w:hAnsi="Verdana" w:cs="Times New Roman"/>
                <w:sz w:val="16"/>
                <w:szCs w:val="16"/>
                <w:u w:val="single"/>
                <w:lang w:eastAsia="ru-RU"/>
              </w:rPr>
              <w:t>≥</w:t>
            </w:r>
            <w:r w:rsidRPr="000D43C9">
              <w:rPr>
                <w:rFonts w:ascii="Verdana" w:eastAsia="Times New Roman" w:hAnsi="Verdana" w:cs="Times New Roman"/>
                <w:sz w:val="16"/>
                <w:szCs w:val="16"/>
                <w:lang w:eastAsia="ru-RU"/>
              </w:rPr>
              <w:t>12%</w:t>
            </w:r>
          </w:p>
        </w:tc>
      </w:tr>
      <w:tr w:rsidR="000D43C9" w:rsidRPr="000D43C9" w:rsidTr="000D43C9">
        <w:trPr>
          <w:trHeight w:val="255"/>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rPr>
                <w:rFonts w:ascii="Verdana" w:eastAsia="Times New Roman" w:hAnsi="Verdana" w:cs="Times New Roman"/>
                <w:sz w:val="16"/>
                <w:szCs w:val="16"/>
                <w:lang w:eastAsia="ru-RU"/>
              </w:rPr>
            </w:pPr>
            <w:r w:rsidRPr="000D43C9">
              <w:rPr>
                <w:rFonts w:ascii="Verdana" w:eastAsia="Times New Roman" w:hAnsi="Verdana" w:cs="Times New Roman"/>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jc w:val="center"/>
              <w:rPr>
                <w:rFonts w:ascii="Verdana" w:eastAsia="Times New Roman" w:hAnsi="Verdana" w:cs="Times New Roman"/>
                <w:sz w:val="16"/>
                <w:szCs w:val="16"/>
                <w:lang w:eastAsia="ru-RU"/>
              </w:rPr>
            </w:pPr>
            <w:r w:rsidRPr="000D43C9">
              <w:rPr>
                <w:rFonts w:ascii="Verdana" w:eastAsia="Times New Roman" w:hAnsi="Verdana" w:cs="Times New Roman"/>
                <w:sz w:val="16"/>
                <w:szCs w:val="16"/>
                <w:lang w:eastAsia="ru-RU"/>
              </w:rPr>
              <w:t>Н15</w:t>
            </w:r>
          </w:p>
        </w:tc>
        <w:tc>
          <w:tcPr>
            <w:tcW w:w="1523" w:type="dxa"/>
            <w:tcBorders>
              <w:top w:val="nil"/>
              <w:left w:val="single" w:sz="4" w:space="0" w:color="auto"/>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jc w:val="right"/>
              <w:rPr>
                <w:rFonts w:ascii="Verdana" w:eastAsia="Times New Roman" w:hAnsi="Verdana" w:cs="Times New Roman"/>
                <w:sz w:val="16"/>
                <w:szCs w:val="16"/>
                <w:lang w:eastAsia="ru-RU"/>
              </w:rPr>
            </w:pPr>
            <w:r w:rsidRPr="000D43C9">
              <w:rPr>
                <w:rFonts w:ascii="Verdana" w:eastAsia="Times New Roman" w:hAnsi="Verdana" w:cs="Times New Roman"/>
                <w:sz w:val="16"/>
                <w:szCs w:val="16"/>
                <w:lang w:eastAsia="ru-RU"/>
              </w:rPr>
              <w:t>2 792,6%</w:t>
            </w:r>
          </w:p>
        </w:tc>
        <w:tc>
          <w:tcPr>
            <w:tcW w:w="1418" w:type="dxa"/>
            <w:tcBorders>
              <w:top w:val="nil"/>
              <w:left w:val="nil"/>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jc w:val="right"/>
              <w:rPr>
                <w:rFonts w:ascii="Verdana" w:eastAsia="Times New Roman" w:hAnsi="Verdana" w:cs="Times New Roman"/>
                <w:sz w:val="16"/>
                <w:szCs w:val="16"/>
                <w:lang w:eastAsia="ru-RU"/>
              </w:rPr>
            </w:pPr>
            <w:r w:rsidRPr="000D43C9">
              <w:rPr>
                <w:rFonts w:ascii="Verdana" w:eastAsia="Times New Roman" w:hAnsi="Verdana" w:cs="Times New Roman"/>
                <w:sz w:val="16"/>
                <w:szCs w:val="16"/>
                <w:lang w:eastAsia="ru-RU"/>
              </w:rPr>
              <w:t>5 517,5%</w:t>
            </w:r>
          </w:p>
        </w:tc>
        <w:tc>
          <w:tcPr>
            <w:tcW w:w="1447" w:type="dxa"/>
            <w:tcBorders>
              <w:top w:val="nil"/>
              <w:left w:val="nil"/>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rPr>
                <w:rFonts w:ascii="Verdana" w:eastAsia="Times New Roman" w:hAnsi="Verdana" w:cs="Times New Roman"/>
                <w:sz w:val="16"/>
                <w:szCs w:val="16"/>
                <w:lang w:eastAsia="ru-RU"/>
              </w:rPr>
            </w:pPr>
            <w:r w:rsidRPr="000D43C9">
              <w:rPr>
                <w:rFonts w:ascii="Verdana" w:eastAsia="Times New Roman" w:hAnsi="Verdana" w:cs="Times New Roman"/>
                <w:sz w:val="16"/>
                <w:szCs w:val="16"/>
                <w:lang w:eastAsia="ru-RU"/>
              </w:rPr>
              <w:t>≥100%</w:t>
            </w:r>
          </w:p>
        </w:tc>
      </w:tr>
      <w:tr w:rsidR="000D43C9" w:rsidRPr="000D43C9" w:rsidTr="000D43C9">
        <w:trPr>
          <w:trHeight w:val="255"/>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rPr>
                <w:rFonts w:ascii="Verdana" w:eastAsia="Times New Roman" w:hAnsi="Verdana" w:cs="Times New Roman"/>
                <w:sz w:val="16"/>
                <w:szCs w:val="16"/>
                <w:lang w:eastAsia="ru-RU"/>
              </w:rPr>
            </w:pPr>
            <w:r w:rsidRPr="000D43C9">
              <w:rPr>
                <w:rFonts w:ascii="Verdana" w:eastAsia="Times New Roman" w:hAnsi="Verdana" w:cs="Times New Roman"/>
                <w:sz w:val="16"/>
                <w:szCs w:val="16"/>
                <w:lang w:eastAsia="ru-RU"/>
              </w:rPr>
              <w:t>3</w:t>
            </w:r>
          </w:p>
        </w:tc>
        <w:tc>
          <w:tcPr>
            <w:tcW w:w="1727" w:type="dxa"/>
            <w:tcBorders>
              <w:top w:val="nil"/>
              <w:left w:val="nil"/>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jc w:val="center"/>
              <w:rPr>
                <w:rFonts w:ascii="Verdana" w:eastAsia="Times New Roman" w:hAnsi="Verdana" w:cs="Times New Roman"/>
                <w:sz w:val="16"/>
                <w:szCs w:val="16"/>
                <w:lang w:eastAsia="ru-RU"/>
              </w:rPr>
            </w:pPr>
            <w:r w:rsidRPr="000D43C9">
              <w:rPr>
                <w:rFonts w:ascii="Verdana" w:eastAsia="Times New Roman" w:hAnsi="Verdana" w:cs="Times New Roman"/>
                <w:sz w:val="16"/>
                <w:szCs w:val="16"/>
                <w:lang w:eastAsia="ru-RU"/>
              </w:rPr>
              <w:t>Н6</w:t>
            </w:r>
          </w:p>
        </w:tc>
        <w:tc>
          <w:tcPr>
            <w:tcW w:w="1523" w:type="dxa"/>
            <w:tcBorders>
              <w:top w:val="nil"/>
              <w:left w:val="single" w:sz="4" w:space="0" w:color="auto"/>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jc w:val="right"/>
              <w:rPr>
                <w:rFonts w:ascii="Verdana" w:eastAsia="Times New Roman" w:hAnsi="Verdana" w:cs="Times New Roman"/>
                <w:sz w:val="16"/>
                <w:szCs w:val="16"/>
                <w:lang w:eastAsia="ru-RU"/>
              </w:rPr>
            </w:pPr>
            <w:r w:rsidRPr="000D43C9">
              <w:rPr>
                <w:rFonts w:ascii="Verdana" w:eastAsia="Times New Roman" w:hAnsi="Verdana" w:cs="Times New Roman"/>
                <w:sz w:val="16"/>
                <w:szCs w:val="16"/>
                <w:lang w:eastAsia="ru-RU"/>
              </w:rPr>
              <w:t>1,1%</w:t>
            </w:r>
          </w:p>
        </w:tc>
        <w:tc>
          <w:tcPr>
            <w:tcW w:w="1418" w:type="dxa"/>
            <w:tcBorders>
              <w:top w:val="nil"/>
              <w:left w:val="nil"/>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jc w:val="right"/>
              <w:rPr>
                <w:rFonts w:ascii="Verdana" w:eastAsia="Times New Roman" w:hAnsi="Verdana" w:cs="Times New Roman"/>
                <w:sz w:val="16"/>
                <w:szCs w:val="16"/>
                <w:lang w:eastAsia="ru-RU"/>
              </w:rPr>
            </w:pPr>
            <w:r w:rsidRPr="000D43C9">
              <w:rPr>
                <w:rFonts w:ascii="Verdana" w:eastAsia="Times New Roman" w:hAnsi="Verdana" w:cs="Times New Roman"/>
                <w:sz w:val="16"/>
                <w:szCs w:val="16"/>
                <w:lang w:val="en-US" w:eastAsia="ru-RU"/>
              </w:rPr>
              <w:t>1</w:t>
            </w:r>
            <w:r w:rsidRPr="000D43C9">
              <w:rPr>
                <w:rFonts w:ascii="Verdana" w:eastAsia="Times New Roman" w:hAnsi="Verdana" w:cs="Times New Roman"/>
                <w:sz w:val="16"/>
                <w:szCs w:val="16"/>
                <w:lang w:eastAsia="ru-RU"/>
              </w:rPr>
              <w:t>,0%</w:t>
            </w:r>
          </w:p>
        </w:tc>
        <w:tc>
          <w:tcPr>
            <w:tcW w:w="1447" w:type="dxa"/>
            <w:tcBorders>
              <w:top w:val="nil"/>
              <w:left w:val="nil"/>
              <w:bottom w:val="single" w:sz="4" w:space="0" w:color="auto"/>
              <w:right w:val="single" w:sz="4" w:space="0" w:color="auto"/>
            </w:tcBorders>
            <w:shd w:val="clear" w:color="auto" w:fill="auto"/>
            <w:vAlign w:val="center"/>
            <w:hideMark/>
          </w:tcPr>
          <w:p w:rsidR="000D43C9" w:rsidRPr="000D43C9" w:rsidRDefault="000D43C9" w:rsidP="000D43C9">
            <w:pPr>
              <w:spacing w:after="0" w:line="240" w:lineRule="auto"/>
              <w:rPr>
                <w:rFonts w:ascii="Verdana" w:eastAsia="Times New Roman" w:hAnsi="Verdana" w:cs="Times New Roman"/>
                <w:sz w:val="16"/>
                <w:szCs w:val="16"/>
                <w:lang w:eastAsia="ru-RU"/>
              </w:rPr>
            </w:pPr>
            <w:r w:rsidRPr="000D43C9">
              <w:rPr>
                <w:rFonts w:ascii="Verdana" w:eastAsia="Times New Roman" w:hAnsi="Verdana" w:cs="Times New Roman"/>
                <w:sz w:val="16"/>
                <w:szCs w:val="16"/>
                <w:u w:val="single"/>
                <w:lang w:eastAsia="ru-RU"/>
              </w:rPr>
              <w:t>≤</w:t>
            </w:r>
            <w:r w:rsidRPr="000D43C9">
              <w:rPr>
                <w:rFonts w:ascii="Verdana" w:eastAsia="Times New Roman" w:hAnsi="Verdana" w:cs="Times New Roman"/>
                <w:sz w:val="16"/>
                <w:szCs w:val="16"/>
                <w:lang w:eastAsia="ru-RU"/>
              </w:rPr>
              <w:t>10%</w:t>
            </w:r>
          </w:p>
        </w:tc>
      </w:tr>
    </w:tbl>
    <w:p w:rsid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p>
    <w:bookmarkEnd w:id="7"/>
    <w:p w:rsidR="000D43C9" w:rsidRPr="000D43C9" w:rsidRDefault="000D43C9" w:rsidP="000D43C9">
      <w:pPr>
        <w:widowControl w:val="0"/>
        <w:spacing w:before="240" w:after="240" w:line="240" w:lineRule="auto"/>
        <w:rPr>
          <w:rFonts w:ascii="Verdana" w:eastAsia="Times New Roman" w:hAnsi="Verdana" w:cs="Arial"/>
          <w:b/>
          <w:sz w:val="20"/>
          <w:szCs w:val="20"/>
          <w:lang w:eastAsia="ru-RU"/>
        </w:rPr>
      </w:pPr>
      <w:r w:rsidRPr="000D43C9">
        <w:rPr>
          <w:rFonts w:ascii="Verdana" w:eastAsia="Times New Roman" w:hAnsi="Verdana" w:cs="Arial"/>
          <w:b/>
          <w:sz w:val="20"/>
          <w:szCs w:val="20"/>
          <w:lang w:eastAsia="ru-RU"/>
        </w:rPr>
        <w:t>Информация об объеме и структуре чистой ссудной задолженности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В таблице ниже представлена информация об объеме и структуре чистой ссудной задолженности и ее изменении в отчетном периоде:</w:t>
      </w:r>
    </w:p>
    <w:tbl>
      <w:tblPr>
        <w:tblStyle w:val="a4"/>
        <w:tblW w:w="8115" w:type="dxa"/>
        <w:tblLook w:val="04A0" w:firstRow="1" w:lastRow="0" w:firstColumn="1" w:lastColumn="0" w:noHBand="0" w:noVBand="1"/>
      </w:tblPr>
      <w:tblGrid>
        <w:gridCol w:w="4102"/>
        <w:gridCol w:w="1385"/>
        <w:gridCol w:w="1385"/>
        <w:gridCol w:w="1243"/>
      </w:tblGrid>
      <w:tr w:rsidR="000D43C9" w:rsidRPr="000D43C9" w:rsidTr="00EB2E30">
        <w:trPr>
          <w:trHeight w:val="283"/>
        </w:trPr>
        <w:tc>
          <w:tcPr>
            <w:tcW w:w="4103" w:type="dxa"/>
            <w:vAlign w:val="center"/>
          </w:tcPr>
          <w:p w:rsidR="000D43C9" w:rsidRPr="000D43C9" w:rsidRDefault="000D43C9" w:rsidP="000D43C9">
            <w:pPr>
              <w:jc w:val="center"/>
              <w:rPr>
                <w:rFonts w:ascii="Verdana" w:hAnsi="Verdana"/>
                <w:b/>
                <w:sz w:val="16"/>
                <w:szCs w:val="16"/>
                <w:lang w:eastAsia="ru-RU"/>
              </w:rPr>
            </w:pPr>
            <w:proofErr w:type="spellStart"/>
            <w:r w:rsidRPr="000D43C9">
              <w:rPr>
                <w:rFonts w:ascii="Verdana" w:hAnsi="Verdana"/>
                <w:b/>
                <w:sz w:val="16"/>
                <w:szCs w:val="16"/>
                <w:lang w:eastAsia="ru-RU"/>
              </w:rPr>
              <w:t>Чистая</w:t>
            </w:r>
            <w:proofErr w:type="spellEnd"/>
            <w:r w:rsidRPr="000D43C9">
              <w:rPr>
                <w:rFonts w:ascii="Verdana" w:hAnsi="Verdana"/>
                <w:b/>
                <w:sz w:val="16"/>
                <w:szCs w:val="16"/>
                <w:lang w:eastAsia="ru-RU"/>
              </w:rPr>
              <w:t xml:space="preserve"> </w:t>
            </w:r>
            <w:proofErr w:type="spellStart"/>
            <w:r w:rsidRPr="000D43C9">
              <w:rPr>
                <w:rFonts w:ascii="Verdana" w:hAnsi="Verdana"/>
                <w:b/>
                <w:sz w:val="16"/>
                <w:szCs w:val="16"/>
                <w:lang w:eastAsia="ru-RU"/>
              </w:rPr>
              <w:t>ссудная</w:t>
            </w:r>
            <w:proofErr w:type="spellEnd"/>
            <w:r w:rsidRPr="000D43C9">
              <w:rPr>
                <w:rFonts w:ascii="Verdana" w:hAnsi="Verdana"/>
                <w:b/>
                <w:sz w:val="16"/>
                <w:szCs w:val="16"/>
                <w:lang w:eastAsia="ru-RU"/>
              </w:rPr>
              <w:t xml:space="preserve"> </w:t>
            </w:r>
            <w:proofErr w:type="spellStart"/>
            <w:r w:rsidRPr="000D43C9">
              <w:rPr>
                <w:rFonts w:ascii="Verdana" w:hAnsi="Verdana"/>
                <w:b/>
                <w:sz w:val="16"/>
                <w:szCs w:val="16"/>
                <w:lang w:eastAsia="ru-RU"/>
              </w:rPr>
              <w:t>задолженность</w:t>
            </w:r>
            <w:proofErr w:type="spellEnd"/>
          </w:p>
        </w:tc>
        <w:tc>
          <w:tcPr>
            <w:tcW w:w="1385" w:type="dxa"/>
            <w:vAlign w:val="center"/>
          </w:tcPr>
          <w:p w:rsidR="000D43C9" w:rsidRPr="000D43C9" w:rsidRDefault="000D43C9" w:rsidP="000D43C9">
            <w:pPr>
              <w:jc w:val="center"/>
              <w:rPr>
                <w:rFonts w:ascii="Verdana" w:hAnsi="Verdana"/>
                <w:b/>
                <w:sz w:val="16"/>
                <w:szCs w:val="16"/>
                <w:lang w:eastAsia="ru-RU"/>
              </w:rPr>
            </w:pPr>
            <w:proofErr w:type="spellStart"/>
            <w:r w:rsidRPr="000D43C9">
              <w:rPr>
                <w:rFonts w:ascii="Verdana" w:hAnsi="Verdana"/>
                <w:b/>
                <w:sz w:val="16"/>
                <w:szCs w:val="16"/>
                <w:lang w:eastAsia="ru-RU"/>
              </w:rPr>
              <w:t>На</w:t>
            </w:r>
            <w:proofErr w:type="spellEnd"/>
            <w:r w:rsidRPr="000D43C9">
              <w:rPr>
                <w:rFonts w:ascii="Verdana" w:hAnsi="Verdana"/>
                <w:b/>
                <w:sz w:val="16"/>
                <w:szCs w:val="16"/>
                <w:lang w:eastAsia="ru-RU"/>
              </w:rPr>
              <w:t xml:space="preserve"> 01.04.2018г.</w:t>
            </w:r>
          </w:p>
        </w:tc>
        <w:tc>
          <w:tcPr>
            <w:tcW w:w="1385" w:type="dxa"/>
            <w:vAlign w:val="center"/>
          </w:tcPr>
          <w:p w:rsidR="000D43C9" w:rsidRPr="000D43C9" w:rsidRDefault="000D43C9" w:rsidP="000D43C9">
            <w:pPr>
              <w:jc w:val="center"/>
              <w:rPr>
                <w:rFonts w:ascii="Verdana" w:hAnsi="Verdana"/>
                <w:b/>
                <w:sz w:val="16"/>
                <w:szCs w:val="16"/>
                <w:lang w:eastAsia="ru-RU"/>
              </w:rPr>
            </w:pPr>
            <w:proofErr w:type="spellStart"/>
            <w:r w:rsidRPr="000D43C9">
              <w:rPr>
                <w:rFonts w:ascii="Verdana" w:hAnsi="Verdana"/>
                <w:b/>
                <w:sz w:val="16"/>
                <w:szCs w:val="16"/>
                <w:lang w:eastAsia="ru-RU"/>
              </w:rPr>
              <w:t>На</w:t>
            </w:r>
            <w:proofErr w:type="spellEnd"/>
            <w:r w:rsidRPr="000D43C9">
              <w:rPr>
                <w:rFonts w:ascii="Verdana" w:hAnsi="Verdana"/>
                <w:b/>
                <w:sz w:val="16"/>
                <w:szCs w:val="16"/>
                <w:lang w:eastAsia="ru-RU"/>
              </w:rPr>
              <w:t xml:space="preserve"> 01.01.2018г.</w:t>
            </w:r>
          </w:p>
        </w:tc>
        <w:tc>
          <w:tcPr>
            <w:tcW w:w="1242" w:type="dxa"/>
            <w:vAlign w:val="center"/>
          </w:tcPr>
          <w:p w:rsidR="000D43C9" w:rsidRPr="000D43C9" w:rsidRDefault="000D43C9" w:rsidP="000D43C9">
            <w:pPr>
              <w:jc w:val="center"/>
              <w:rPr>
                <w:rFonts w:ascii="Verdana" w:hAnsi="Verdana"/>
                <w:b/>
                <w:sz w:val="16"/>
                <w:szCs w:val="16"/>
                <w:lang w:eastAsia="ru-RU"/>
              </w:rPr>
            </w:pPr>
            <w:proofErr w:type="spellStart"/>
            <w:r w:rsidRPr="000D43C9">
              <w:rPr>
                <w:rFonts w:ascii="Verdana" w:hAnsi="Verdana"/>
                <w:b/>
                <w:sz w:val="16"/>
                <w:szCs w:val="16"/>
                <w:lang w:eastAsia="ru-RU"/>
              </w:rPr>
              <w:t>Изменение</w:t>
            </w:r>
            <w:proofErr w:type="spellEnd"/>
          </w:p>
        </w:tc>
      </w:tr>
      <w:tr w:rsidR="000D43C9" w:rsidRPr="000D43C9" w:rsidTr="00EB2E30">
        <w:trPr>
          <w:trHeight w:val="283"/>
        </w:trPr>
        <w:tc>
          <w:tcPr>
            <w:tcW w:w="4103" w:type="dxa"/>
          </w:tcPr>
          <w:p w:rsidR="000D43C9" w:rsidRPr="000D43C9" w:rsidRDefault="000D43C9" w:rsidP="000D43C9">
            <w:pPr>
              <w:rPr>
                <w:rFonts w:ascii="Verdana" w:hAnsi="Verdana"/>
                <w:sz w:val="16"/>
                <w:szCs w:val="16"/>
                <w:lang w:eastAsia="ru-RU"/>
              </w:rPr>
            </w:pPr>
            <w:proofErr w:type="spellStart"/>
            <w:r w:rsidRPr="000D43C9">
              <w:rPr>
                <w:rFonts w:ascii="Verdana" w:hAnsi="Verdana"/>
                <w:sz w:val="16"/>
                <w:szCs w:val="16"/>
                <w:lang w:eastAsia="ru-RU"/>
              </w:rPr>
              <w:t>Депозиты</w:t>
            </w:r>
            <w:proofErr w:type="spellEnd"/>
            <w:r w:rsidRPr="000D43C9">
              <w:rPr>
                <w:rFonts w:ascii="Verdana" w:hAnsi="Verdana"/>
                <w:sz w:val="16"/>
                <w:szCs w:val="16"/>
                <w:lang w:eastAsia="ru-RU"/>
              </w:rPr>
              <w:t xml:space="preserve"> в ЦБ РФ</w:t>
            </w:r>
          </w:p>
        </w:tc>
        <w:tc>
          <w:tcPr>
            <w:tcW w:w="1385" w:type="dxa"/>
            <w:vAlign w:val="center"/>
          </w:tcPr>
          <w:p w:rsidR="000D43C9" w:rsidRPr="000D43C9" w:rsidRDefault="000D43C9" w:rsidP="000D43C9">
            <w:pPr>
              <w:jc w:val="right"/>
              <w:rPr>
                <w:rFonts w:ascii="Verdana" w:hAnsi="Verdana" w:cs="Arial"/>
                <w:sz w:val="16"/>
                <w:szCs w:val="16"/>
                <w:lang w:eastAsia="ru-RU"/>
              </w:rPr>
            </w:pPr>
            <w:r w:rsidRPr="000D43C9">
              <w:rPr>
                <w:rFonts w:ascii="Verdana" w:hAnsi="Verdana" w:cs="Arial"/>
                <w:sz w:val="16"/>
                <w:szCs w:val="16"/>
                <w:lang w:eastAsia="ru-RU"/>
              </w:rPr>
              <w:t>78 750</w:t>
            </w:r>
          </w:p>
        </w:tc>
        <w:tc>
          <w:tcPr>
            <w:tcW w:w="1385" w:type="dxa"/>
            <w:vAlign w:val="center"/>
          </w:tcPr>
          <w:p w:rsidR="000D43C9" w:rsidRPr="000D43C9" w:rsidRDefault="000D43C9" w:rsidP="000D43C9">
            <w:pPr>
              <w:jc w:val="right"/>
              <w:rPr>
                <w:rFonts w:ascii="Verdana" w:hAnsi="Verdana" w:cs="Arial"/>
                <w:sz w:val="16"/>
                <w:szCs w:val="16"/>
                <w:lang w:eastAsia="ru-RU"/>
              </w:rPr>
            </w:pPr>
            <w:r w:rsidRPr="000D43C9">
              <w:rPr>
                <w:rFonts w:ascii="Verdana" w:hAnsi="Verdana" w:cs="Arial"/>
                <w:sz w:val="16"/>
                <w:szCs w:val="16"/>
                <w:lang w:eastAsia="ru-RU"/>
              </w:rPr>
              <w:t>77 500</w:t>
            </w:r>
          </w:p>
        </w:tc>
        <w:tc>
          <w:tcPr>
            <w:tcW w:w="1242" w:type="dxa"/>
            <w:vAlign w:val="center"/>
          </w:tcPr>
          <w:p w:rsidR="000D43C9" w:rsidRPr="000D43C9" w:rsidRDefault="000D43C9" w:rsidP="000D43C9">
            <w:pPr>
              <w:jc w:val="right"/>
              <w:rPr>
                <w:rFonts w:ascii="Verdana" w:hAnsi="Verdana" w:cs="Arial"/>
                <w:sz w:val="16"/>
                <w:szCs w:val="16"/>
                <w:lang w:eastAsia="ru-RU"/>
              </w:rPr>
            </w:pPr>
            <w:r w:rsidRPr="000D43C9">
              <w:rPr>
                <w:rFonts w:ascii="Verdana" w:hAnsi="Verdana" w:cs="Arial"/>
                <w:sz w:val="16"/>
                <w:szCs w:val="16"/>
                <w:lang w:eastAsia="ru-RU"/>
              </w:rPr>
              <w:t>1250</w:t>
            </w:r>
          </w:p>
        </w:tc>
      </w:tr>
      <w:tr w:rsidR="000D43C9" w:rsidRPr="000D43C9" w:rsidTr="00EB2E30">
        <w:trPr>
          <w:trHeight w:val="283"/>
        </w:trPr>
        <w:tc>
          <w:tcPr>
            <w:tcW w:w="4103" w:type="dxa"/>
          </w:tcPr>
          <w:p w:rsidR="000D43C9" w:rsidRPr="000D43C9" w:rsidRDefault="000D43C9" w:rsidP="000D43C9">
            <w:pPr>
              <w:rPr>
                <w:rFonts w:ascii="Verdana" w:hAnsi="Verdana"/>
                <w:sz w:val="16"/>
                <w:szCs w:val="16"/>
                <w:lang w:val="ru-RU" w:eastAsia="ru-RU"/>
              </w:rPr>
            </w:pPr>
            <w:r w:rsidRPr="000D43C9">
              <w:rPr>
                <w:rFonts w:ascii="Verdana" w:hAnsi="Verdana"/>
                <w:sz w:val="16"/>
                <w:szCs w:val="16"/>
                <w:lang w:val="ru-RU" w:eastAsia="ru-RU"/>
              </w:rPr>
              <w:t>Обеспечительные взносы по договорам аренды</w:t>
            </w:r>
          </w:p>
        </w:tc>
        <w:tc>
          <w:tcPr>
            <w:tcW w:w="1385" w:type="dxa"/>
            <w:vAlign w:val="center"/>
          </w:tcPr>
          <w:p w:rsidR="000D43C9" w:rsidRPr="000D43C9" w:rsidRDefault="000D43C9" w:rsidP="000D43C9">
            <w:pPr>
              <w:jc w:val="right"/>
              <w:rPr>
                <w:rFonts w:ascii="Verdana" w:hAnsi="Verdana" w:cs="Arial"/>
                <w:sz w:val="16"/>
                <w:szCs w:val="16"/>
                <w:lang w:eastAsia="ru-RU"/>
              </w:rPr>
            </w:pPr>
            <w:r w:rsidRPr="000D43C9">
              <w:rPr>
                <w:rFonts w:ascii="Verdana" w:hAnsi="Verdana" w:cs="Arial"/>
                <w:sz w:val="16"/>
                <w:szCs w:val="16"/>
                <w:lang w:eastAsia="ru-RU"/>
              </w:rPr>
              <w:t>11 913</w:t>
            </w:r>
          </w:p>
        </w:tc>
        <w:tc>
          <w:tcPr>
            <w:tcW w:w="1385" w:type="dxa"/>
            <w:vAlign w:val="center"/>
          </w:tcPr>
          <w:p w:rsidR="000D43C9" w:rsidRPr="000D43C9" w:rsidRDefault="000D43C9" w:rsidP="000D43C9">
            <w:pPr>
              <w:jc w:val="right"/>
              <w:rPr>
                <w:rFonts w:ascii="Verdana" w:hAnsi="Verdana" w:cs="Arial"/>
                <w:sz w:val="16"/>
                <w:szCs w:val="16"/>
                <w:lang w:eastAsia="ru-RU"/>
              </w:rPr>
            </w:pPr>
            <w:r w:rsidRPr="000D43C9">
              <w:rPr>
                <w:rFonts w:ascii="Verdana" w:hAnsi="Verdana" w:cs="Arial"/>
                <w:sz w:val="16"/>
                <w:szCs w:val="16"/>
                <w:lang w:eastAsia="ru-RU"/>
              </w:rPr>
              <w:t>13 104</w:t>
            </w:r>
          </w:p>
        </w:tc>
        <w:tc>
          <w:tcPr>
            <w:tcW w:w="1242" w:type="dxa"/>
            <w:vAlign w:val="center"/>
          </w:tcPr>
          <w:p w:rsidR="000D43C9" w:rsidRPr="000D43C9" w:rsidRDefault="000D43C9" w:rsidP="000D43C9">
            <w:pPr>
              <w:jc w:val="right"/>
              <w:rPr>
                <w:rFonts w:ascii="Verdana" w:hAnsi="Verdana" w:cs="Arial"/>
                <w:sz w:val="16"/>
                <w:szCs w:val="16"/>
                <w:lang w:eastAsia="ru-RU"/>
              </w:rPr>
            </w:pPr>
            <w:r w:rsidRPr="000D43C9">
              <w:rPr>
                <w:rFonts w:ascii="Verdana" w:hAnsi="Verdana" w:cs="Arial"/>
                <w:sz w:val="16"/>
                <w:szCs w:val="16"/>
                <w:lang w:eastAsia="ru-RU"/>
              </w:rPr>
              <w:t>(1191)</w:t>
            </w:r>
          </w:p>
        </w:tc>
      </w:tr>
      <w:tr w:rsidR="000D43C9" w:rsidRPr="000D43C9" w:rsidTr="00EB2E30">
        <w:trPr>
          <w:trHeight w:val="283"/>
        </w:trPr>
        <w:tc>
          <w:tcPr>
            <w:tcW w:w="4103" w:type="dxa"/>
          </w:tcPr>
          <w:p w:rsidR="000D43C9" w:rsidRPr="000D43C9" w:rsidRDefault="000D43C9" w:rsidP="000D43C9">
            <w:pPr>
              <w:rPr>
                <w:rFonts w:ascii="Verdana" w:hAnsi="Verdana"/>
                <w:b/>
                <w:sz w:val="16"/>
                <w:szCs w:val="16"/>
                <w:lang w:eastAsia="ru-RU"/>
              </w:rPr>
            </w:pPr>
            <w:proofErr w:type="spellStart"/>
            <w:r w:rsidRPr="000D43C9">
              <w:rPr>
                <w:rFonts w:ascii="Verdana" w:hAnsi="Verdana"/>
                <w:b/>
                <w:sz w:val="16"/>
                <w:szCs w:val="16"/>
                <w:lang w:eastAsia="ru-RU"/>
              </w:rPr>
              <w:t>Итого</w:t>
            </w:r>
            <w:proofErr w:type="spellEnd"/>
          </w:p>
        </w:tc>
        <w:tc>
          <w:tcPr>
            <w:tcW w:w="1385" w:type="dxa"/>
            <w:vAlign w:val="center"/>
          </w:tcPr>
          <w:p w:rsidR="000D43C9" w:rsidRPr="000D43C9" w:rsidRDefault="000D43C9" w:rsidP="000D43C9">
            <w:pPr>
              <w:jc w:val="right"/>
              <w:rPr>
                <w:rFonts w:ascii="Verdana" w:hAnsi="Verdana" w:cs="Arial"/>
                <w:b/>
                <w:bCs/>
                <w:sz w:val="16"/>
                <w:szCs w:val="16"/>
                <w:lang w:eastAsia="ru-RU"/>
              </w:rPr>
            </w:pPr>
            <w:r w:rsidRPr="000D43C9">
              <w:rPr>
                <w:rFonts w:ascii="Verdana" w:hAnsi="Verdana" w:cs="Arial"/>
                <w:b/>
                <w:bCs/>
                <w:sz w:val="16"/>
                <w:szCs w:val="16"/>
                <w:lang w:eastAsia="ru-RU"/>
              </w:rPr>
              <w:t>90 663</w:t>
            </w:r>
          </w:p>
        </w:tc>
        <w:tc>
          <w:tcPr>
            <w:tcW w:w="1385" w:type="dxa"/>
            <w:vAlign w:val="center"/>
          </w:tcPr>
          <w:p w:rsidR="000D43C9" w:rsidRPr="000D43C9" w:rsidRDefault="000D43C9" w:rsidP="000D43C9">
            <w:pPr>
              <w:jc w:val="right"/>
              <w:rPr>
                <w:rFonts w:ascii="Verdana" w:hAnsi="Verdana" w:cs="Arial"/>
                <w:b/>
                <w:bCs/>
                <w:sz w:val="16"/>
                <w:szCs w:val="16"/>
                <w:lang w:eastAsia="ru-RU"/>
              </w:rPr>
            </w:pPr>
            <w:r w:rsidRPr="000D43C9">
              <w:rPr>
                <w:rFonts w:ascii="Verdana" w:hAnsi="Verdana" w:cs="Arial"/>
                <w:b/>
                <w:bCs/>
                <w:sz w:val="16"/>
                <w:szCs w:val="16"/>
                <w:lang w:eastAsia="ru-RU"/>
              </w:rPr>
              <w:t>90 604</w:t>
            </w:r>
          </w:p>
        </w:tc>
        <w:tc>
          <w:tcPr>
            <w:tcW w:w="1242" w:type="dxa"/>
            <w:vAlign w:val="center"/>
          </w:tcPr>
          <w:p w:rsidR="000D43C9" w:rsidRPr="000D43C9" w:rsidRDefault="000D43C9" w:rsidP="000D43C9">
            <w:pPr>
              <w:jc w:val="right"/>
              <w:rPr>
                <w:rFonts w:ascii="Verdana" w:hAnsi="Verdana" w:cs="Arial"/>
                <w:b/>
                <w:bCs/>
                <w:sz w:val="16"/>
                <w:szCs w:val="16"/>
                <w:lang w:eastAsia="ru-RU"/>
              </w:rPr>
            </w:pPr>
            <w:r w:rsidRPr="000D43C9">
              <w:rPr>
                <w:rFonts w:ascii="Verdana" w:hAnsi="Verdana" w:cs="Arial"/>
                <w:b/>
                <w:bCs/>
                <w:sz w:val="16"/>
                <w:szCs w:val="16"/>
                <w:lang w:eastAsia="ru-RU"/>
              </w:rPr>
              <w:t>59</w:t>
            </w:r>
          </w:p>
        </w:tc>
      </w:tr>
    </w:tbl>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Прочие требования, признаваемые ссудной задолженностью в сумме 13 104 тыс. руб. по состоянию на 01.01.2018 года и 11 913 тыс. руб. по состоянию на 01.04.2018 года, являются обеспечительными платежами, предусмотренными договорами аренды под размещение кредитно-кассовых офисов НКО в аэропортах в городах Санкт-Петербург, Новосибирск.</w:t>
      </w:r>
    </w:p>
    <w:p w:rsidR="000D43C9" w:rsidRPr="000D43C9" w:rsidRDefault="000D43C9" w:rsidP="000D43C9">
      <w:pPr>
        <w:widowControl w:val="0"/>
        <w:spacing w:before="240" w:after="240" w:line="240" w:lineRule="auto"/>
        <w:rPr>
          <w:rFonts w:ascii="Verdana" w:eastAsia="Times New Roman" w:hAnsi="Verdana" w:cs="Arial"/>
          <w:b/>
          <w:sz w:val="20"/>
          <w:szCs w:val="20"/>
          <w:lang w:eastAsia="ru-RU"/>
        </w:rPr>
      </w:pPr>
      <w:bookmarkStart w:id="16" w:name="_Toc392574693"/>
      <w:bookmarkStart w:id="17" w:name="_Toc392574758"/>
      <w:bookmarkStart w:id="18" w:name="_Toc392606628"/>
      <w:bookmarkStart w:id="19" w:name="_Toc392606739"/>
      <w:bookmarkStart w:id="20" w:name="_Toc392673770"/>
      <w:bookmarkStart w:id="21" w:name="_Toc392684332"/>
      <w:bookmarkStart w:id="22" w:name="_Toc392686184"/>
      <w:bookmarkStart w:id="23" w:name="_Toc392747369"/>
      <w:bookmarkStart w:id="24" w:name="_Toc392776832"/>
      <w:bookmarkStart w:id="25" w:name="_Toc396480938"/>
      <w:bookmarkEnd w:id="16"/>
      <w:bookmarkEnd w:id="17"/>
      <w:bookmarkEnd w:id="18"/>
      <w:bookmarkEnd w:id="19"/>
      <w:bookmarkEnd w:id="20"/>
      <w:bookmarkEnd w:id="21"/>
      <w:bookmarkEnd w:id="22"/>
      <w:bookmarkEnd w:id="23"/>
      <w:bookmarkEnd w:id="24"/>
      <w:r w:rsidRPr="000D43C9">
        <w:rPr>
          <w:rFonts w:ascii="Verdana" w:eastAsia="Times New Roman" w:hAnsi="Verdana" w:cs="Arial"/>
          <w:b/>
          <w:sz w:val="20"/>
          <w:szCs w:val="20"/>
          <w:lang w:eastAsia="ru-RU"/>
        </w:rPr>
        <w:t xml:space="preserve">Информация </w:t>
      </w:r>
      <w:bookmarkEnd w:id="25"/>
      <w:r w:rsidRPr="000D43C9">
        <w:rPr>
          <w:rFonts w:ascii="Verdana" w:eastAsia="Times New Roman" w:hAnsi="Verdana" w:cs="Arial"/>
          <w:b/>
          <w:sz w:val="20"/>
          <w:szCs w:val="20"/>
          <w:lang w:eastAsia="ru-RU"/>
        </w:rPr>
        <w:t>о величине и об изменении величины уставного капитала</w:t>
      </w:r>
    </w:p>
    <w:p w:rsidR="000D43C9" w:rsidRPr="000D43C9" w:rsidRDefault="000D43C9" w:rsidP="000D43C9">
      <w:pPr>
        <w:widowControl w:val="0"/>
        <w:spacing w:before="240" w:after="240" w:line="240" w:lineRule="auto"/>
        <w:rPr>
          <w:rFonts w:ascii="Verdana" w:eastAsia="Calibri" w:hAnsi="Verdana" w:cs="Arial"/>
          <w:sz w:val="20"/>
          <w:szCs w:val="20"/>
        </w:rPr>
      </w:pPr>
      <w:r w:rsidRPr="000D43C9">
        <w:rPr>
          <w:rFonts w:ascii="Verdana" w:eastAsia="Calibri" w:hAnsi="Verdana" w:cs="Arial"/>
          <w:sz w:val="20"/>
          <w:szCs w:val="20"/>
        </w:rPr>
        <w:t>Зарегистрированный уставный капитал НКО по состоянию на 01.01.2018 года и на 01.04.2018 года составляет 90 000 тысяч рублей. Изменения величины уставного капитала за 1 квартал 2018 года не произошло. По состоянию на 01.04.2018 года уставный капитал был полностью оплачен. Эмиссионный доход отсутствует.</w:t>
      </w:r>
    </w:p>
    <w:p w:rsidR="000D43C9" w:rsidRPr="000D43C9" w:rsidRDefault="000D43C9" w:rsidP="000D43C9">
      <w:pPr>
        <w:widowControl w:val="0"/>
        <w:spacing w:before="240" w:after="240" w:line="240" w:lineRule="auto"/>
        <w:rPr>
          <w:rFonts w:ascii="Verdana" w:eastAsia="Times New Roman" w:hAnsi="Verdana" w:cs="Arial"/>
          <w:b/>
          <w:sz w:val="20"/>
          <w:szCs w:val="20"/>
          <w:lang w:eastAsia="ru-RU"/>
        </w:rPr>
      </w:pPr>
      <w:r w:rsidRPr="000D43C9">
        <w:rPr>
          <w:rFonts w:ascii="Verdana" w:eastAsia="Times New Roman" w:hAnsi="Verdana" w:cs="Arial"/>
          <w:b/>
          <w:sz w:val="20"/>
          <w:szCs w:val="20"/>
          <w:lang w:eastAsia="ru-RU"/>
        </w:rPr>
        <w:t>Информация о принимаемых кредитной организацией рисках, процедурах их оценки и управления</w:t>
      </w:r>
    </w:p>
    <w:p w:rsidR="000D43C9" w:rsidRPr="000D43C9" w:rsidRDefault="000D43C9" w:rsidP="000D43C9">
      <w:pPr>
        <w:widowControl w:val="0"/>
        <w:spacing w:before="240" w:after="240" w:line="240" w:lineRule="auto"/>
        <w:rPr>
          <w:rFonts w:ascii="Verdana" w:eastAsia="Times New Roman" w:hAnsi="Verdana" w:cs="Arial"/>
          <w:b/>
          <w:sz w:val="20"/>
          <w:szCs w:val="20"/>
          <w:lang w:eastAsia="ru-RU"/>
        </w:rPr>
      </w:pPr>
      <w:r w:rsidRPr="000D43C9">
        <w:rPr>
          <w:rFonts w:ascii="Verdana" w:eastAsia="Times New Roman" w:hAnsi="Verdana" w:cs="Arial"/>
          <w:b/>
          <w:sz w:val="20"/>
          <w:szCs w:val="20"/>
          <w:lang w:eastAsia="ru-RU"/>
        </w:rPr>
        <w:t>Стратегия и процедуры управления рисками и капиталом</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В НКО разработаны и утверждены Стратегия управления рисками и капиталом и Генеральная политика управления рисками, закрепляющие ключевые положения в отношении управления рисками и капиталом и методов их оценки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Целью управления рисками и достаточностью капитала является: </w:t>
      </w:r>
    </w:p>
    <w:p w:rsidR="000D43C9" w:rsidRPr="000D43C9" w:rsidRDefault="000D43C9" w:rsidP="000D43C9">
      <w:pPr>
        <w:widowControl w:val="0"/>
        <w:numPr>
          <w:ilvl w:val="0"/>
          <w:numId w:val="40"/>
        </w:numPr>
        <w:spacing w:before="240" w:after="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обеспечение/поддержание приемлемого уровня рисков, ограниченного аппетитом к риску;</w:t>
      </w:r>
    </w:p>
    <w:p w:rsidR="000D43C9" w:rsidRPr="000D43C9" w:rsidRDefault="000D43C9" w:rsidP="000D43C9">
      <w:pPr>
        <w:widowControl w:val="0"/>
        <w:numPr>
          <w:ilvl w:val="0"/>
          <w:numId w:val="40"/>
        </w:numPr>
        <w:spacing w:after="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обеспечение достаточности капитала для покрытия существенных рисков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Задачами системы управления рисками и достаточностью капитала являются: </w:t>
      </w:r>
    </w:p>
    <w:p w:rsidR="000D43C9" w:rsidRPr="000D43C9" w:rsidRDefault="000D43C9" w:rsidP="000D43C9">
      <w:pPr>
        <w:widowControl w:val="0"/>
        <w:numPr>
          <w:ilvl w:val="0"/>
          <w:numId w:val="41"/>
        </w:numPr>
        <w:spacing w:after="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выявление, оценка, агрегирование существенных рисков НКО и контроль за их уровнем; </w:t>
      </w:r>
    </w:p>
    <w:p w:rsidR="000D43C9" w:rsidRPr="000D43C9" w:rsidRDefault="000D43C9" w:rsidP="000D43C9">
      <w:pPr>
        <w:widowControl w:val="0"/>
        <w:numPr>
          <w:ilvl w:val="0"/>
          <w:numId w:val="41"/>
        </w:numPr>
        <w:spacing w:after="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обеспечение эффективного распределения ресурсов для оптимизации соотношения риска/доходности НКО; </w:t>
      </w:r>
    </w:p>
    <w:p w:rsidR="000D43C9" w:rsidRPr="000D43C9" w:rsidRDefault="000D43C9" w:rsidP="000D43C9">
      <w:pPr>
        <w:widowControl w:val="0"/>
        <w:numPr>
          <w:ilvl w:val="0"/>
          <w:numId w:val="41"/>
        </w:numPr>
        <w:spacing w:after="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оценка достаточности капитала для покрытия существенных рисков; </w:t>
      </w:r>
    </w:p>
    <w:p w:rsidR="000D43C9" w:rsidRPr="000D43C9" w:rsidRDefault="000D43C9" w:rsidP="000D43C9">
      <w:pPr>
        <w:widowControl w:val="0"/>
        <w:numPr>
          <w:ilvl w:val="0"/>
          <w:numId w:val="41"/>
        </w:numPr>
        <w:spacing w:after="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планирование капитала исходя из результатов всесторонней оценки существенных рисков, тестирования устойчивости НКО по отношению к внутренним и внешним факторам риска, ориентиров стратегии развития бизнеса НКО, требований Банка России к достаточности капитала; </w:t>
      </w:r>
    </w:p>
    <w:p w:rsidR="000D43C9" w:rsidRPr="000D43C9" w:rsidRDefault="000D43C9" w:rsidP="000D43C9">
      <w:pPr>
        <w:widowControl w:val="0"/>
        <w:numPr>
          <w:ilvl w:val="0"/>
          <w:numId w:val="41"/>
        </w:numPr>
        <w:spacing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обеспечение единого понимания рисков на уровне НКО и стратегического планирования с учетом уровня принимаемого риска.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Краткое описание процедур управления рисками и методов их оценки, а также информацию о происшедших в них изменениях в течение отчетного года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В НКО осуществляется оценка достаточности имеющегося в распоряжении (доступного) капитала, то есть капитала для покрытия принятых и потенциальных рисков, путем реализации внутренних процедур оценки достаточности капитала (ВПОДК).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Результаты выполнения ВПОДК используются в НКО при принятии решений по развитию бизнеса (формировании стратегии развития) в качестве основы для оценки необходимого размера капитала для покрытия существенных и потенциальных рисков.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В рамках ВПОДК: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оцениваются все существенные риски для НКО;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определяется плановый (целевой) уровень капитала;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устанавливаются методы и процедуры управления существенными рисками, оценки достаточности капитала и его распределения по видам существенных рисков;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устанавливается система контроля за существенными рисками, достаточностью капитала и соблюдением лимитов по рискам;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устанавливается отчетность о достаточности капитала;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определяются процедуры внутреннего контроля за выполнением ВПОДК.</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Расчет экономического капитала НКО осуществляется не реже одного раза в квартал в рамках процесса контроля соблюдения лимитов аппетита к риску.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Полный цикл ВПОДК с формированием итогового отчета выполняется один раз в год и включает: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расчет экономического капитала;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проверку функционирования механизмов управления рисками;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оценку вовлеченности Правления и Совета Директоров НКО в процессы управления рисками;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оценку достаточности и эффективности системы внутреннего контроля за выполнением ВПОДК.</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Результаты ВПОДК используются Правлением и Советом Директоров НКО для определения соответствия уровня принятых рисков установленным лимитам аппетита к риску, а также при стратегическом планировании.  Результаты ВПОДК являются одним из главных источников количественной оценки рисков при принятии управленческих решений по управлению рисками.  Результаты ВПОДК используются при принятии решений об изменении структуры и/или размера капитала.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Общество использует системы внутренней классификации рисков, основанные на анализе типов рисков, которым подвержена деятельность НКО, а также определяет ключевые индикаторы риска для идентификации и оценки существенности выявляемых рисков и управления ими.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НКО разрабатывает политики, методики и процедуры идентификации и оценки всех типов рисков, которым подтверждена деятельность НКО.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НКО использует следующие методы минимизации рисков: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избегание (отказ от принятия) риска. Избегание риска реализуется путем прекращения определенного вида деятельности (отказа от осуществления какого-то вида операций, уход с определенного рынка);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передача риска. Решение о передачи риска зависит от вида и характера деятельности НКО, подверженной риску, важности связанной с риском операции и ее финансовой значимости. Обществом могут использоваться такие механизмы как страхование, хеджирование, аутсорсинг и др.</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минимизация риска. Спланированное действие или комплекс действий, направленных на снижение финансовых последствий и/или вероятности реализации риска. НКО может использоваться следующие методы минимизации риска: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повышение квалификации персонала;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повышение соответствия информационных систем функционалу и объемам бизнеса;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регламентирование операций и совершенствование технологий;</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внедрение системы лимитов;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использование системы распределения полномочий;</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внедрение и повышение эффективности контрольных механизмов и процедур;</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обеспечение установленного порядка доступа к информации и материальным активам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Риск принимается, если оценка уровня риска считается приемлемой и дальнейшие усилия по его минимизации не являются экономически целесообразными. Решение о принятии риска принимается в соответствии с действующей в НКО системой полномочий, определенной Уставом НКО, положениями о подразделениях и комитетах НКО, должностными инструкциями, внутренними нормативными документами, регламентирующими порядок проведения операций и взаимодействия подразделений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НКО контролирует объемы принятых рисков. Результаты контроля включаются во внутреннюю отчетность по рискам и предоставляются органам управления НКО, руководителям подразделений НКО, осуществляющим управление рисками реализуемых процессов.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НКО проводит мониторинг каждого клиента и всегда своевременно получает информацию для необходимых действий. НКО стремится к решению проблем до выхода их из-под контроля, для чего: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разрабатываются специальные компетенции по определению потенциально рискованных клиентов до того, как ситуация станет опасной;</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НКО </w:t>
      </w:r>
      <w:proofErr w:type="spellStart"/>
      <w:r w:rsidRPr="000D43C9">
        <w:rPr>
          <w:rFonts w:ascii="Verdana" w:eastAsia="Times New Roman" w:hAnsi="Verdana" w:cs="Arial"/>
          <w:sz w:val="20"/>
          <w:szCs w:val="20"/>
          <w:lang w:eastAsia="ru-RU"/>
        </w:rPr>
        <w:t>проактивно</w:t>
      </w:r>
      <w:proofErr w:type="spellEnd"/>
      <w:r w:rsidRPr="000D43C9">
        <w:rPr>
          <w:rFonts w:ascii="Verdana" w:eastAsia="Times New Roman" w:hAnsi="Verdana" w:cs="Arial"/>
          <w:sz w:val="20"/>
          <w:szCs w:val="20"/>
          <w:lang w:eastAsia="ru-RU"/>
        </w:rPr>
        <w:t xml:space="preserve"> выходит на контакт с клиентами для запуска механизмов совместного решения проблемы.</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С целью ограничения и диверсификации принимаемых рисков, в НКО действует многоуровневая система лимитов: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общий лимит риска НКО – устанавливается исходя из аппетита к риску, определенного стратегией;</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концентрационные (портфельные) лимиты: лимиты по типам рисков, отраслевые, лимит продуктовой концентрации, лимиты по направлениям деятельности и пр.;</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индивидуальные лимиты контрагента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НКО формирует управленческую отчетность по рискам, позволяющую руководителям подразделений НКО и органам управления принимать взвешенные управленческие решения в области управления рисками. Методы подготовки отчетности ориентируются в большей степени на активное принятие решений (т.е. ориентированы на перспективу), а не только на констатацию фактов после совершенных событий. Отчетность содержит данные, позволяющие рассматривать все рисковые позиции в целом по НКО с необходимым уровнем детализации.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Основной целью проведения стресс-тестирования является идентификация, оценка и контроль основных угроз для финансового состояния НКО (достаточности капитала, прибыли, ликвидности и др.).</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Стресс-тестирование позволяет определить потенциальные потери НКО в специфических ситуациях (при реализации стрессовых сценариев), оценить способность покрыть данные потери за счёт прибыли и капитала НКО и разработать порядок действий по минимизации данных рисков в целях сбережения капитала и прибыли. Стресс-тестирование является эффективным инструментом при подготовке прогноза факторов риска, разработки планов по снижению возможности реализации рисков (в том числе, корректировка аппетита к риску, определение лимитов риска и пр.), поддержки принятия решений в области планирования и управления капиталом.</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b/>
          <w:sz w:val="20"/>
          <w:szCs w:val="20"/>
          <w:lang w:eastAsia="ru-RU"/>
        </w:rPr>
      </w:pPr>
      <w:r w:rsidRPr="000D43C9">
        <w:rPr>
          <w:rFonts w:ascii="Verdana" w:eastAsia="Times New Roman" w:hAnsi="Verdana" w:cs="Arial"/>
          <w:b/>
          <w:sz w:val="20"/>
          <w:szCs w:val="20"/>
          <w:lang w:eastAsia="ru-RU"/>
        </w:rPr>
        <w:t>Сведения о структуре и об организации работы подразделений, осуществляющих управление рисками</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Система управления НКО представляет собой совокупность органов и подразделений, объединенных в единый механизм, направленный на достижение НКО поставленных целей.</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Структура управления, установленная в НКО для разграничения полномочий и принятия решений, обеспечивает эффективное функционирование его системы управления рисками. Основными органами НКО, участвующими в процессе управления банковскими рисками, являются органы управления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Систему органов внутреннего контроля НКО образуют:</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1.</w:t>
      </w:r>
      <w:r w:rsidRPr="000D43C9">
        <w:rPr>
          <w:rFonts w:ascii="Verdana" w:eastAsia="Times New Roman" w:hAnsi="Verdana" w:cs="Arial"/>
          <w:sz w:val="20"/>
          <w:szCs w:val="20"/>
          <w:lang w:eastAsia="ru-RU"/>
        </w:rPr>
        <w:tab/>
        <w:t>Общее собрание;</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2.</w:t>
      </w:r>
      <w:r w:rsidRPr="000D43C9">
        <w:rPr>
          <w:rFonts w:ascii="Verdana" w:eastAsia="Times New Roman" w:hAnsi="Verdana" w:cs="Arial"/>
          <w:sz w:val="20"/>
          <w:szCs w:val="20"/>
          <w:lang w:eastAsia="ru-RU"/>
        </w:rPr>
        <w:tab/>
        <w:t>Совет директоров;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3.</w:t>
      </w:r>
      <w:r w:rsidRPr="000D43C9">
        <w:rPr>
          <w:rFonts w:ascii="Verdana" w:eastAsia="Times New Roman" w:hAnsi="Verdana" w:cs="Arial"/>
          <w:sz w:val="20"/>
          <w:szCs w:val="20"/>
          <w:lang w:eastAsia="ru-RU"/>
        </w:rPr>
        <w:tab/>
        <w:t>Председатель Правления (его заместители) и Правление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4.</w:t>
      </w:r>
      <w:r w:rsidRPr="000D43C9">
        <w:rPr>
          <w:rFonts w:ascii="Verdana" w:eastAsia="Times New Roman" w:hAnsi="Verdana" w:cs="Arial"/>
          <w:sz w:val="20"/>
          <w:szCs w:val="20"/>
          <w:lang w:eastAsia="ru-RU"/>
        </w:rPr>
        <w:tab/>
        <w:t>Главный бухгалтер НКО, его заместители;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5.</w:t>
      </w:r>
      <w:r w:rsidRPr="000D43C9">
        <w:rPr>
          <w:rFonts w:ascii="Verdana" w:eastAsia="Times New Roman" w:hAnsi="Verdana" w:cs="Arial"/>
          <w:sz w:val="20"/>
          <w:szCs w:val="20"/>
          <w:lang w:eastAsia="ru-RU"/>
        </w:rPr>
        <w:tab/>
        <w:t>Руководитель службы внутреннего аудита;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6.</w:t>
      </w:r>
      <w:r w:rsidRPr="000D43C9">
        <w:rPr>
          <w:rFonts w:ascii="Verdana" w:eastAsia="Times New Roman" w:hAnsi="Verdana" w:cs="Arial"/>
          <w:sz w:val="20"/>
          <w:szCs w:val="20"/>
          <w:lang w:eastAsia="ru-RU"/>
        </w:rPr>
        <w:tab/>
        <w:t>Руководитель службы внутреннего контроля;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7.</w:t>
      </w:r>
      <w:r w:rsidRPr="000D43C9">
        <w:rPr>
          <w:rFonts w:ascii="Verdana" w:eastAsia="Times New Roman" w:hAnsi="Verdana" w:cs="Arial"/>
          <w:sz w:val="20"/>
          <w:szCs w:val="20"/>
          <w:lang w:eastAsia="ru-RU"/>
        </w:rPr>
        <w:tab/>
        <w:t>Ответственный работник по противодействию легализации (отмыванию) доходов, полученных преступным путем, и финансированию терроризма;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8.</w:t>
      </w:r>
      <w:r w:rsidRPr="000D43C9">
        <w:rPr>
          <w:rFonts w:ascii="Verdana" w:eastAsia="Times New Roman" w:hAnsi="Verdana" w:cs="Arial"/>
          <w:sz w:val="20"/>
          <w:szCs w:val="20"/>
          <w:lang w:eastAsia="ru-RU"/>
        </w:rPr>
        <w:tab/>
        <w:t>Руководители и служащие структурных подразделений НКО.</w:t>
      </w:r>
      <w:r w:rsidRPr="000D43C9">
        <w:rPr>
          <w:rFonts w:ascii="Verdana" w:eastAsia="Times New Roman" w:hAnsi="Verdana" w:cs="Arial"/>
          <w:sz w:val="20"/>
          <w:szCs w:val="20"/>
          <w:lang w:eastAsia="ru-RU"/>
        </w:rPr>
        <w:tab/>
      </w:r>
    </w:p>
    <w:p w:rsidR="000D43C9" w:rsidRPr="000D43C9" w:rsidRDefault="000D43C9" w:rsidP="000D43C9">
      <w:pPr>
        <w:widowControl w:val="0"/>
        <w:spacing w:before="240" w:after="240" w:line="240" w:lineRule="auto"/>
        <w:rPr>
          <w:rFonts w:ascii="Verdana" w:eastAsia="Times New Roman" w:hAnsi="Verdana" w:cs="Arial"/>
          <w:b/>
          <w:sz w:val="20"/>
          <w:szCs w:val="20"/>
          <w:lang w:eastAsia="ru-RU"/>
        </w:rPr>
      </w:pPr>
      <w:r w:rsidRPr="000D43C9">
        <w:rPr>
          <w:rFonts w:ascii="Verdana" w:eastAsia="Times New Roman" w:hAnsi="Verdana" w:cs="Arial"/>
          <w:b/>
          <w:sz w:val="20"/>
          <w:szCs w:val="20"/>
          <w:lang w:eastAsia="ru-RU"/>
        </w:rPr>
        <w:t>Органы управления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оценивают риски, влияющие на достижение поставленных целей, и принимать меры, обеспечивающие реагирование на меняющиеся обстоятельства и условия в целях обеспечения эффективности оценки банковских рисков;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обеспечивают участие во внутреннем контроле всех служащих НКО в соответствии с их должностными обязанностями;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устанавливают порядок, при котором служащие доводят до сведения органов управления и руководителей структурных подразделений НКО (филиала) информацию обо всех нарушениях законодательства Российской Федерации, учредительных и внутренних документов, случаях злоупотреблений, несоблюдения норм профессиональной этики;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принимают документы по вопросам взаимодействия Руководителя службы внутреннего контроля с подразделениями и служащими НКО и контролируют их соблюдение;</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исключают принятие правил и (или) осуществление практики, которые могут стимулировать совершение действий, противоречащих законодательству Российской Федерации, целям внутреннего контроля.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b/>
          <w:sz w:val="20"/>
          <w:szCs w:val="20"/>
          <w:lang w:eastAsia="ru-RU"/>
        </w:rPr>
        <w:t>К полномочиям Общего собрания</w:t>
      </w:r>
      <w:r w:rsidRPr="000D43C9">
        <w:rPr>
          <w:rFonts w:ascii="Verdana" w:eastAsia="Times New Roman" w:hAnsi="Verdana" w:cs="Arial"/>
          <w:sz w:val="20"/>
          <w:szCs w:val="20"/>
          <w:lang w:eastAsia="ru-RU"/>
        </w:rPr>
        <w:t xml:space="preserve"> по обеспечению внутреннего контроля за деятельностью НКО относятся: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утверждение внутренних документов, регулирующих деятельность органов управления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b/>
          <w:sz w:val="20"/>
          <w:szCs w:val="20"/>
          <w:lang w:eastAsia="ru-RU"/>
        </w:rPr>
        <w:t>К компетенции Совета директоров</w:t>
      </w:r>
      <w:r w:rsidRPr="000D43C9">
        <w:rPr>
          <w:rFonts w:ascii="Verdana" w:eastAsia="Times New Roman" w:hAnsi="Verdana" w:cs="Arial"/>
          <w:sz w:val="20"/>
          <w:szCs w:val="20"/>
          <w:lang w:eastAsia="ru-RU"/>
        </w:rPr>
        <w:t xml:space="preserve"> относится: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обеспечение создания и функционирования эффективного внутреннего контроля;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регулярное рассмотрение на своих заседаниях эффективности системы внутреннего контроля и обсуждение с исполнительными органами вопросов организации внутреннего контроля и мер по повышению его эффективности;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рассмотрение документов по организации системы внутреннего контроля, подготовленных исполнительными органами НКО, Руководителем Службы внутреннего аудита, иными структурными подразделениями НКО, аудиторской организацией, проводящей (проводившей) аудит;</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рассмотрение представляемой Руководителем службы внутреннего аудита не реже двух раз в год информации о принятых мерах по выполнению рекомендаций и устранению нарушений, выявленных в деятельности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принятие мер, обеспечивающих оперативное выполнение исполнительными органами НКО рекомендаций и замечаний Руководителя службы внутреннего аудита, аудиторской организации, проводящей (проводившей) аудит, и надзорных органов;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рассмотрение материалов и результатов периодических оценок эффективности внутреннего контроля;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своевременное осуществление проверки соответствия внутреннего контроля характеру, масштабам и условиям деятельности НКО в случае их изменения;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назначение Руководителя службы внутреннего аудита.</w:t>
      </w:r>
    </w:p>
    <w:p w:rsidR="000D43C9" w:rsidRPr="000D43C9" w:rsidRDefault="000D43C9" w:rsidP="000D43C9">
      <w:pPr>
        <w:widowControl w:val="0"/>
        <w:spacing w:before="240" w:after="240" w:line="240" w:lineRule="auto"/>
        <w:rPr>
          <w:rFonts w:ascii="Verdana" w:eastAsia="Times New Roman" w:hAnsi="Verdana" w:cs="Arial"/>
          <w:b/>
          <w:sz w:val="20"/>
          <w:szCs w:val="20"/>
          <w:lang w:eastAsia="ru-RU"/>
        </w:rPr>
      </w:pPr>
      <w:r w:rsidRPr="000D43C9">
        <w:rPr>
          <w:rFonts w:ascii="Verdana" w:eastAsia="Times New Roman" w:hAnsi="Verdana" w:cs="Arial"/>
          <w:b/>
          <w:sz w:val="20"/>
          <w:szCs w:val="20"/>
          <w:lang w:eastAsia="ru-RU"/>
        </w:rPr>
        <w:t>К компетенции Правления НКО относится: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установление ответственности за выполнение решений Совета директоров, реализацию стратегии и политики НКО в отношении организации и осуществления внутреннего контроля;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проверка соответствия деятельности НКО внутренним документам, определяющим порядок осуществления внутреннего контроля, и оценка соответствия содержания указанных документов характеру и масштабам деятельности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реализация политики (стратегии) НКО в отношении организации и осуществления внутреннего контроля. </w:t>
      </w:r>
    </w:p>
    <w:p w:rsidR="000D43C9" w:rsidRPr="000D43C9" w:rsidRDefault="000D43C9" w:rsidP="000D43C9">
      <w:pPr>
        <w:widowControl w:val="0"/>
        <w:spacing w:before="240" w:after="240" w:line="240" w:lineRule="auto"/>
        <w:rPr>
          <w:rFonts w:ascii="Verdana" w:eastAsia="Times New Roman" w:hAnsi="Verdana" w:cs="Arial"/>
          <w:b/>
          <w:sz w:val="20"/>
          <w:szCs w:val="20"/>
          <w:lang w:eastAsia="ru-RU"/>
        </w:rPr>
      </w:pPr>
      <w:r w:rsidRPr="000D43C9">
        <w:rPr>
          <w:rFonts w:ascii="Verdana" w:eastAsia="Times New Roman" w:hAnsi="Verdana" w:cs="Arial"/>
          <w:b/>
          <w:sz w:val="20"/>
          <w:szCs w:val="20"/>
          <w:lang w:eastAsia="ru-RU"/>
        </w:rPr>
        <w:t>К компетенции Председателя Правления относится: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делегирование полномочий на разработку правил и процедур в сфере внутреннего контроля руководителям соответствующих структурных подразделений и контроль за их исполнением;</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распределение обязанностей подразделений и служащих, отвечающих за конкретные направления (формы, способы осуществления) внутреннего контроля;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рассмотрение материалов и результатов периодических оценок эффективности внутреннего контроля;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создание эффективных систем передачи и обмена информацией, обеспечивающих поступление необходимых сведений к заинтересованным в ней пользователям. Системы передачи и обмена информацией включают в себя все документы, определяющие операционную политику и процедуры деятельности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создание и обеспечение функционирования системы контроля за устранением выявленных нарушений и недостатков внутреннего контроля и мер, принятых для их устранения;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утверждение Правил внутреннего контроля в целях противодействия легализации (отмыванию) доходов, полученных преступным путем, и финансированию терроризма;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рассмотрение и утверждение Положения о службе внутреннего контроля.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Заместители Председателя Правления в области организации внутреннего контроля выполняют указания, полученные от Председателя Правления.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b/>
          <w:sz w:val="20"/>
          <w:szCs w:val="20"/>
          <w:lang w:eastAsia="ru-RU"/>
        </w:rPr>
        <w:t>Главный бухгалтер</w:t>
      </w:r>
      <w:r w:rsidRPr="000D43C9">
        <w:rPr>
          <w:rFonts w:ascii="Verdana" w:eastAsia="Times New Roman" w:hAnsi="Verdana" w:cs="Arial"/>
          <w:sz w:val="20"/>
          <w:szCs w:val="20"/>
          <w:lang w:eastAsia="ru-RU"/>
        </w:rPr>
        <w:t xml:space="preserve"> подчиняется непосредственно Председателю Правления и несет ответственность за формирование учетной политики НКО, ведение бухгалтерского учета, своевременное представление полной и достоверной бухгалтерской отчетности.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Главный бухгалтер обеспечивает соответствие осуществляемых операций законодательству Российской Федерации, в том числе нормативным актам Банка России, осуществляет контроль за движением имущества и выполнением обязательств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Требования главного бухгалтера по документальному оформлению совершаемых операций и представлению в бухгалтерию необходимых документов и сведений обязательны для всех работников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Главный бухгалтер НКО (его заместители), главные бухгалтеры филиалов (их заместители) (при наличии филиалов у НКО) назначаются на должность и освобождаются от должности Председателем Правления. Полномочия главного бухгалтера (его заместителей), главных бухгалтеров филиалов (их заместителей) как органов системы внутреннего контроля определяются соответствующими внутренними документами НКО, в том числе положениями о подразделениях и должностными инструкциями указанных работников.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Должностными лицами НКО, также осуществляющими внутренний контроль (далее – «Руководители подразделений внутреннего контроля») являются – Руководитель службы внутреннего аудита и Руководитель службы внутреннего контроля.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b/>
          <w:sz w:val="20"/>
          <w:szCs w:val="20"/>
          <w:lang w:eastAsia="ru-RU"/>
        </w:rPr>
        <w:t>Руководитель службы внутреннего аудита (СВА)</w:t>
      </w:r>
      <w:r w:rsidRPr="000D43C9">
        <w:rPr>
          <w:rFonts w:ascii="Verdana" w:eastAsia="Times New Roman" w:hAnsi="Verdana" w:cs="Arial"/>
          <w:sz w:val="20"/>
          <w:szCs w:val="20"/>
          <w:lang w:eastAsia="ru-RU"/>
        </w:rPr>
        <w:t xml:space="preserve"> назначен в качестве должностного лица НКО, осуществляющего внутренний контроль, в том числе проверку и оценку эффективности системы внутреннего контроля в целом, выполнение решений органов управления НКО, проверку эффективности методологии банковских рисков, оценку банковских рисков и процедур управления рисками, а также осуществляет иные функции, определенных внутренними документами НКО в соответствие с законодательством Российской Федерации.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Статус Руководителя СВА в организационной структуре НКО, цели и сфера деятельности, принципы (стандарты) и методы деятельности, задачи, полномочия, права и обязанности, взаимоотношения с другими подразделениями НКО, подчиненность и подотчетность Руководителя службы внутреннего аудита, его ответственность определяются действующим законодательством, настоящим Уставом, а также Положениям о службе внутреннего аудита и иными внутренними документами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Руководитель СВА соответствует квалификационным требованиями в соответствии с Указанием Банка России от 1 апреля 2014 г. N 3223-У «О требованиях к руководителям службы управления рисками, службы внутреннего контроля, службы внутреннего аудита кредитной организации».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b/>
          <w:sz w:val="20"/>
          <w:szCs w:val="20"/>
          <w:lang w:eastAsia="ru-RU"/>
        </w:rPr>
        <w:t>Руководитель службы внутреннего контроля (СВК)</w:t>
      </w:r>
      <w:r w:rsidRPr="000D43C9">
        <w:rPr>
          <w:rFonts w:ascii="Verdana" w:eastAsia="Times New Roman" w:hAnsi="Verdana" w:cs="Arial"/>
          <w:sz w:val="20"/>
          <w:szCs w:val="20"/>
          <w:lang w:eastAsia="ru-RU"/>
        </w:rPr>
        <w:t xml:space="preserve"> назначен для выявления </w:t>
      </w:r>
      <w:proofErr w:type="spellStart"/>
      <w:r w:rsidRPr="000D43C9">
        <w:rPr>
          <w:rFonts w:ascii="Verdana" w:eastAsia="Times New Roman" w:hAnsi="Verdana" w:cs="Arial"/>
          <w:sz w:val="20"/>
          <w:szCs w:val="20"/>
          <w:lang w:eastAsia="ru-RU"/>
        </w:rPr>
        <w:t>комплаенс</w:t>
      </w:r>
      <w:proofErr w:type="spellEnd"/>
      <w:r w:rsidRPr="000D43C9">
        <w:rPr>
          <w:rFonts w:ascii="Verdana" w:eastAsia="Times New Roman" w:hAnsi="Verdana" w:cs="Arial"/>
          <w:sz w:val="20"/>
          <w:szCs w:val="20"/>
          <w:lang w:eastAsia="ru-RU"/>
        </w:rPr>
        <w:t>-риска и осуществления мониторинга регуляторного риска и мониторинга эффективности управления регуляторным риском на постоянной основе в порядке, установленном действующим законодательством и внутренними документами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Статус Руководителя СВК в организационной структуре НКО, цели и функции, методы деятельности, подчиненность и подотчетность Руководителя службы внутреннего контроля, обязанности Руководителя службы внутреннего контроля определяются действующим законодательством, Положением о службе внутреннего контроля и иными внутренними документами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Руководители подразделений внутреннего контроля должны соответствуют требованиям, установленным Указанием Банка России № 3223-У, и установленным пунктом 1 части первой статьи 16 Федерального закона от № 395-1 «О банках и банковской деятельности» требованиям к деловой репутации.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Передача функций Руководителей подразделений внутреннего контроля НКО сторонней организации не допускается.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Деятельность Руководителей подразделений внутреннего контроля основывается на принципах постоянства деятельности, независимости, беспристрастности и профессиональной компетентности.  В Обществе создаются условия для беспрепятственного и эффективного осуществления Руководителями подразделений внутреннего контроля своих функций.</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Руководители подразделений внутреннего контроля осуществляют свою деятельность на основании настоящего Устава, Положения о системе внутреннего контроля, Положения о службе внутреннего аудита и Положения о службе внутреннего контроля.  В своей деятельности Руководители подразделений внутреннего контроля руководствуются действующим законодательством Российской Федерации и не противоречащими ему внутренними документами НКО.</w:t>
      </w:r>
    </w:p>
    <w:p w:rsidR="000D43C9" w:rsidRPr="000D43C9" w:rsidRDefault="000D43C9" w:rsidP="000D43C9">
      <w:pPr>
        <w:widowControl w:val="0"/>
        <w:spacing w:before="240" w:after="240" w:line="240" w:lineRule="auto"/>
        <w:rPr>
          <w:rFonts w:ascii="Verdana" w:eastAsia="Times New Roman" w:hAnsi="Verdana" w:cs="Arial"/>
          <w:b/>
          <w:sz w:val="20"/>
          <w:szCs w:val="20"/>
          <w:lang w:eastAsia="ru-RU"/>
        </w:rPr>
      </w:pPr>
      <w:r w:rsidRPr="000D43C9">
        <w:rPr>
          <w:rFonts w:ascii="Verdana" w:eastAsia="Times New Roman" w:hAnsi="Verdana" w:cs="Arial"/>
          <w:b/>
          <w:sz w:val="20"/>
          <w:szCs w:val="20"/>
          <w:lang w:eastAsia="ru-RU"/>
        </w:rPr>
        <w:t>Ответственный сотрудник по ПОД/ФТ.</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В целях соблюдения требований Федерального Закона от 07.08.2001 № 115-ФЗ «О противодействии легализации (отмыванию) доходов, полученных преступным путем, и финансированию терроризма» (далее – Федеральный закон № 115-ФЗ) и нормативных документов Банка России в НКО разработаны Правила внутреннего контроля в целях противодействия легализации (отмыванию) доходов, полученных преступным путем, и финансированию терроризма (далее – Правила/ПВК).</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Правила внутреннего контроля включают в себя следующие программы осуществления внутреннего контроля: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Программа по организации в НКО системы по противодействию легализации (отмыванию) доходов, полученных преступным путем, и финансирования терроризма (далее программа организации внутреннего контроля);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Программа идентификации Клиента, представителя Клиента, выгодоприобретателя, </w:t>
      </w:r>
      <w:proofErr w:type="spellStart"/>
      <w:r w:rsidRPr="000D43C9">
        <w:rPr>
          <w:rFonts w:ascii="Verdana" w:eastAsia="Times New Roman" w:hAnsi="Verdana" w:cs="Arial"/>
          <w:sz w:val="20"/>
          <w:szCs w:val="20"/>
          <w:lang w:eastAsia="ru-RU"/>
        </w:rPr>
        <w:t>бенефициарного</w:t>
      </w:r>
      <w:proofErr w:type="spellEnd"/>
      <w:r w:rsidRPr="000D43C9">
        <w:rPr>
          <w:rFonts w:ascii="Verdana" w:eastAsia="Times New Roman" w:hAnsi="Verdana" w:cs="Arial"/>
          <w:sz w:val="20"/>
          <w:szCs w:val="20"/>
          <w:lang w:eastAsia="ru-RU"/>
        </w:rPr>
        <w:t xml:space="preserve"> владельца (далее программа идентификации);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Программа управления риском легализации (отмывания) доходов, полученных преступным путем, и финансирования терроризма (программа управления риском);</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Программа выявления в деятельности Клиентов операций, подлежащих обязательному контролю и операций, в отношении которых возникают подозрения, что они осуществляются в целях легализации (отмывания) доходов, полученных преступным путем, и финансирования терроризма (программа выявления операций);</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Программа документального фиксирования информации и порядок представления информации в уполномоченный орган;</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Программа, определяющая порядок приостановления операций с денежными средствами или иным имуществом (далее программа по приостановлению операций);</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Программа организации в НКО работы по отказу от заключения договора банковского счета с юридическим лицом, отказу в выполнении распоряжения Клиента о совершении операции и по расторжению договора банковского счета в соответствии с Федеральным законом (далее программа по отказу от совершения операции/заключения договора банковского счета);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Программа подготовки и обучения кадров в НКО по вопросам противодействия легализации (отмыванию) доходов, полученных преступным путем, и финансирования терроризма (программа обучения сотрудников организации);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Программа проверки осуществления внутреннего контроля;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Программа хранения информации и документов, полученных в результате реализации программ осуществления внутреннего контроля в противодействия легализации (отмыванию) доходов, полученных преступным путем, и финансированию терроризма (далее программа хранения информации);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Программа сохранения конфиденциальности;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Программа, определяющая порядок применения мер по замораживанию (блокированию) денежных средств или иного имущества Клиента и </w:t>
      </w:r>
      <w:proofErr w:type="gramStart"/>
      <w:r w:rsidRPr="000D43C9">
        <w:rPr>
          <w:rFonts w:ascii="Verdana" w:eastAsia="Times New Roman" w:hAnsi="Verdana" w:cs="Arial"/>
          <w:sz w:val="20"/>
          <w:szCs w:val="20"/>
          <w:lang w:eastAsia="ru-RU"/>
        </w:rPr>
        <w:t>порядок проведения проверки наличия среди Клиентов организации</w:t>
      </w:r>
      <w:proofErr w:type="gramEnd"/>
      <w:r w:rsidRPr="000D43C9">
        <w:rPr>
          <w:rFonts w:ascii="Verdana" w:eastAsia="Times New Roman" w:hAnsi="Verdana" w:cs="Arial"/>
          <w:sz w:val="20"/>
          <w:szCs w:val="20"/>
          <w:lang w:eastAsia="ru-RU"/>
        </w:rPr>
        <w:t xml:space="preserve"> и физических лиц, в отношении которых применены либо должны применяться меры по замораживанию (блокированию) денежных средств или иного имущества (далее программа по замораживанию (блокированию) денежных средств).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В целях реализации ПВК в НКО создана Служба финансового мониторинга. Данное структурное подразделение НКО действует на основании Положения о Службе финансового мониторинга.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Служба финансового мониторинга независима в своей деятельности от других структурных подразделений НКО и подчиняется только Председателю Правления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Все сотрудники НКО обязаны неукоснительно соблюдать требования ПВК, а также исполнять требования сотрудников Службы финансового мониторинга.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Председатель Правления НКО Приказом назначает Ответственного сотрудника по ПОД/ФТ (далее по тексту – Ответственный сотрудник) как специальное должностное лицо, ответственное за соблюдение Правил и программ их осуществления в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Ответственным Сотрудником является руководитель Службы финансового мониторинга, который будет соответствовать квалификационным требованиям Банка России в соответствии с Указанием Банка России № 1486-У.</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Служба финансового мониторинга действует на основании перечня функций подразделения и задач сотрудников, утверждаемых в соответствии со штатным расписанием НКО, в том числе осуществляет комплекс мероприятий, направленных на ФОД/ФТ, с учетом особенностей организации НКО, основных направлений ее деятельности и специфики клиентской базы, а также уровня рисков клиентов и предоставляемых банковских услуг.</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В целях ПОД/ФТ Ответственный сотрудник осуществляет следующие функции: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Организует разработку и представляет на утверждение Председателем Правления ПВК и программы их осуществления;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Организует реализацию ПВК и программ их осуществления, а также иных внутренних организационных мер в указанных целях.</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Для достижения указанных целей Ответственный сотрудник:</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Консультирует сотрудников НКО по вопросам, возникающим при реализации Программ, а также принимает решения по переданным в подразделение Сообщениям об операциях;</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Организует представление в уполномоченный орган сведений в соответствии с Федеральным законом от 07.08.2001 №115-ФЗ и нормативными актами НКО России;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Оказывает содействие уполномоченным представителям Банка России при проведении ими инспекционных проверок деятельности НКО по вопросам, отнесенным к его компетенции внутренними документами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Представляет Председателю Правления НКО не реже одного раза в год письменный отчет о результатах реализации ПВК по ПОД/ФТ, а также отчитывается перед Председателем Правления согласно внутренним регламентам и порядкам НКО ежемесячно и ежеквартально;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Выполняет иные функции в рамках своей компетенции.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НКО не устанавливает корреспондентские отношения: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 с банками - корреспондентами, не осуществляющими меры по ПОД/ФТ, в том числе идентификацию и изучение его клиентов;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 с банками – корреспондентами - нерезидентами, не имеющими на территории государств, в которых зарегистрированы, постоянно действующих органов управления;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с банками – корреспондентами - нерезидентами, счета которых используются банками, не имеющими на территориях государств, в которых они зарегистрированы, постоянно действующих органов управления;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с корреспондентами, не представившими документы, необходимые для его идентификации.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Главным принципом осуществления внутреннего контроля в целях противодействия легализации (отмыванию) доходов, полученных преступным путем, и финансирования терроризма является обеспечение участия всех сотрудников НКО, независимо от занимаемой должности, в рамках их компетенции в выявлении операций, подлежащих обязательному контролю, и иных операций с денежными средствами или иным имуществом, связанных с легализацией (отмыванием) доходов, полученных преступным путем, и финансированием терроризма, в деятельности физических лиц, индивидуальных предпринимателей и юридических лиц.</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Так же на Службу финансового мониторинга возложена функция агента валютного контроля.</w:t>
      </w:r>
    </w:p>
    <w:p w:rsidR="000D43C9" w:rsidRPr="000D43C9" w:rsidRDefault="000D43C9" w:rsidP="000D43C9">
      <w:pPr>
        <w:widowControl w:val="0"/>
        <w:spacing w:before="240" w:after="240" w:line="240" w:lineRule="auto"/>
        <w:rPr>
          <w:rFonts w:ascii="Verdana" w:eastAsia="Times New Roman" w:hAnsi="Verdana" w:cs="Arial"/>
          <w:b/>
          <w:sz w:val="20"/>
          <w:szCs w:val="20"/>
          <w:lang w:eastAsia="ru-RU"/>
        </w:rPr>
      </w:pPr>
      <w:r w:rsidRPr="000D43C9">
        <w:rPr>
          <w:rFonts w:ascii="Verdana" w:eastAsia="Times New Roman" w:hAnsi="Verdana" w:cs="Arial"/>
          <w:b/>
          <w:sz w:val="20"/>
          <w:szCs w:val="20"/>
          <w:lang w:eastAsia="ru-RU"/>
        </w:rPr>
        <w:t>Информация о видах значимых рисков, которым подвержена кредитная организация, и источниках их возникновения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К существенным (базовым) рискам НКО относит:</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кредитный риск;</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рыночный риск (рыночный риск включает в себя ценовой риск, валютный и процентный риски);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операционный риск;</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риск ликвидности.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К иным типам риска, которые не относятся к категории существенных, но могут являться источниками возникновения существенных рисков, НКО относит:</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риск потери деловой репутации (</w:t>
      </w:r>
      <w:proofErr w:type="spellStart"/>
      <w:r w:rsidRPr="000D43C9">
        <w:rPr>
          <w:rFonts w:ascii="Verdana" w:eastAsia="Times New Roman" w:hAnsi="Verdana" w:cs="Arial"/>
          <w:sz w:val="20"/>
          <w:szCs w:val="20"/>
          <w:lang w:eastAsia="ru-RU"/>
        </w:rPr>
        <w:t>репутационный</w:t>
      </w:r>
      <w:proofErr w:type="spellEnd"/>
      <w:r w:rsidRPr="000D43C9">
        <w:rPr>
          <w:rFonts w:ascii="Verdana" w:eastAsia="Times New Roman" w:hAnsi="Verdana" w:cs="Arial"/>
          <w:sz w:val="20"/>
          <w:szCs w:val="20"/>
          <w:lang w:eastAsia="ru-RU"/>
        </w:rPr>
        <w:t xml:space="preserve"> риск);</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правовой риск (разновидность операционного риска);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r>
      <w:proofErr w:type="spellStart"/>
      <w:r w:rsidRPr="000D43C9">
        <w:rPr>
          <w:rFonts w:ascii="Verdana" w:eastAsia="Times New Roman" w:hAnsi="Verdana" w:cs="Arial"/>
          <w:sz w:val="20"/>
          <w:szCs w:val="20"/>
          <w:lang w:eastAsia="ru-RU"/>
        </w:rPr>
        <w:t>страновой</w:t>
      </w:r>
      <w:proofErr w:type="spellEnd"/>
      <w:r w:rsidRPr="000D43C9">
        <w:rPr>
          <w:rFonts w:ascii="Verdana" w:eastAsia="Times New Roman" w:hAnsi="Verdana" w:cs="Arial"/>
          <w:sz w:val="20"/>
          <w:szCs w:val="20"/>
          <w:lang w:eastAsia="ru-RU"/>
        </w:rPr>
        <w:t xml:space="preserve"> риск;</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стратегический риск;</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другие риски.</w:t>
      </w:r>
    </w:p>
    <w:p w:rsidR="000D43C9" w:rsidRPr="000D43C9" w:rsidRDefault="000D43C9" w:rsidP="000D43C9">
      <w:pPr>
        <w:keepNext/>
        <w:spacing w:before="240" w:after="240" w:line="240" w:lineRule="auto"/>
        <w:ind w:left="142"/>
        <w:outlineLvl w:val="1"/>
        <w:rPr>
          <w:rFonts w:ascii="Verdana" w:eastAsia="Times New Roman" w:hAnsi="Verdana" w:cs="Arial"/>
          <w:b/>
          <w:sz w:val="20"/>
          <w:szCs w:val="20"/>
          <w:lang w:eastAsia="ru-RU"/>
        </w:rPr>
      </w:pPr>
      <w:bookmarkStart w:id="26" w:name="_Toc506222875"/>
      <w:r w:rsidRPr="000D43C9">
        <w:rPr>
          <w:rFonts w:ascii="Verdana" w:eastAsia="Times New Roman" w:hAnsi="Verdana" w:cs="Arial"/>
          <w:b/>
          <w:sz w:val="20"/>
          <w:szCs w:val="20"/>
          <w:lang w:eastAsia="ru-RU"/>
        </w:rPr>
        <w:t>Кредитный риск</w:t>
      </w:r>
      <w:bookmarkEnd w:id="26"/>
    </w:p>
    <w:p w:rsidR="000D43C9" w:rsidRPr="000D43C9" w:rsidRDefault="000D43C9" w:rsidP="000D43C9">
      <w:pPr>
        <w:widowControl w:val="0"/>
        <w:spacing w:before="240" w:after="240" w:line="240" w:lineRule="auto"/>
        <w:rPr>
          <w:rFonts w:ascii="Verdana" w:eastAsia="Calibri" w:hAnsi="Verdana" w:cs="Arial"/>
          <w:bCs/>
          <w:sz w:val="20"/>
          <w:szCs w:val="20"/>
        </w:rPr>
      </w:pPr>
      <w:r w:rsidRPr="000D43C9">
        <w:rPr>
          <w:rFonts w:ascii="Verdana" w:eastAsia="Calibri" w:hAnsi="Verdana" w:cs="Arial"/>
          <w:bCs/>
          <w:sz w:val="20"/>
          <w:szCs w:val="20"/>
        </w:rPr>
        <w:t>Кредитный риск – риск возникновения у НКО убытков вследствие неисполнения, несвоевременного либо неполного исполнения должником финансовых обязательств перед кредитной организацией в соответствии с условиями договора.</w:t>
      </w:r>
    </w:p>
    <w:p w:rsidR="000D43C9" w:rsidRPr="000D43C9" w:rsidRDefault="000D43C9" w:rsidP="000D43C9">
      <w:pPr>
        <w:widowControl w:val="0"/>
        <w:spacing w:before="240" w:after="240" w:line="240" w:lineRule="auto"/>
        <w:rPr>
          <w:rFonts w:ascii="Verdana" w:eastAsia="Calibri" w:hAnsi="Verdana" w:cs="Arial"/>
          <w:bCs/>
          <w:sz w:val="20"/>
          <w:szCs w:val="20"/>
        </w:rPr>
      </w:pPr>
      <w:r w:rsidRPr="000D43C9">
        <w:rPr>
          <w:rFonts w:ascii="Verdana" w:eastAsia="Calibri" w:hAnsi="Verdana" w:cs="Arial"/>
          <w:bCs/>
          <w:sz w:val="20"/>
          <w:szCs w:val="20"/>
        </w:rPr>
        <w:t>Поскольку НКО не планирует совершать активные кредитные операции и не планирует использовать кредитные средства для осуществления деятельности, кредитный риск НКО минимален.</w:t>
      </w:r>
    </w:p>
    <w:p w:rsidR="000D43C9" w:rsidRPr="000D43C9" w:rsidRDefault="000D43C9" w:rsidP="000D43C9">
      <w:pPr>
        <w:widowControl w:val="0"/>
        <w:spacing w:before="240" w:after="240" w:line="240" w:lineRule="auto"/>
        <w:rPr>
          <w:rFonts w:ascii="Verdana" w:eastAsia="Calibri" w:hAnsi="Verdana" w:cs="Arial"/>
          <w:bCs/>
          <w:sz w:val="20"/>
          <w:szCs w:val="20"/>
        </w:rPr>
      </w:pPr>
      <w:r w:rsidRPr="000D43C9">
        <w:rPr>
          <w:rFonts w:ascii="Verdana" w:eastAsia="Calibri" w:hAnsi="Verdana" w:cs="Arial"/>
          <w:bCs/>
          <w:sz w:val="20"/>
          <w:szCs w:val="20"/>
        </w:rPr>
        <w:t>Информация о классификации активов по группам риска в соответствии с пунктом 2.3 Инструкции Банка России от 28 июня 2017 года № 180-И «Об обязательных нормативах банков»:</w:t>
      </w:r>
    </w:p>
    <w:tbl>
      <w:tblPr>
        <w:tblStyle w:val="a4"/>
        <w:tblW w:w="0" w:type="auto"/>
        <w:tblLook w:val="04A0" w:firstRow="1" w:lastRow="0" w:firstColumn="1" w:lastColumn="0" w:noHBand="0" w:noVBand="1"/>
      </w:tblPr>
      <w:tblGrid>
        <w:gridCol w:w="5386"/>
        <w:gridCol w:w="1242"/>
        <w:gridCol w:w="1242"/>
      </w:tblGrid>
      <w:tr w:rsidR="000D43C9" w:rsidRPr="000D43C9" w:rsidTr="000D43C9">
        <w:trPr>
          <w:trHeight w:val="283"/>
        </w:trPr>
        <w:tc>
          <w:tcPr>
            <w:tcW w:w="5386" w:type="dxa"/>
            <w:vAlign w:val="center"/>
          </w:tcPr>
          <w:p w:rsidR="000D43C9" w:rsidRPr="000D43C9" w:rsidRDefault="000D43C9" w:rsidP="000D43C9">
            <w:pPr>
              <w:jc w:val="center"/>
              <w:rPr>
                <w:rFonts w:ascii="Verdana" w:hAnsi="Verdana"/>
                <w:b/>
                <w:sz w:val="16"/>
                <w:szCs w:val="16"/>
                <w:lang w:eastAsia="ru-RU"/>
              </w:rPr>
            </w:pPr>
            <w:proofErr w:type="spellStart"/>
            <w:r w:rsidRPr="000D43C9">
              <w:rPr>
                <w:rFonts w:ascii="Verdana" w:hAnsi="Verdana"/>
                <w:b/>
                <w:sz w:val="16"/>
                <w:szCs w:val="16"/>
                <w:lang w:eastAsia="ru-RU"/>
              </w:rPr>
              <w:t>Показатель</w:t>
            </w:r>
            <w:proofErr w:type="spellEnd"/>
          </w:p>
        </w:tc>
        <w:tc>
          <w:tcPr>
            <w:tcW w:w="1242" w:type="dxa"/>
            <w:vAlign w:val="center"/>
          </w:tcPr>
          <w:p w:rsidR="000D43C9" w:rsidRPr="000D43C9" w:rsidRDefault="000D43C9" w:rsidP="000D43C9">
            <w:pPr>
              <w:jc w:val="center"/>
              <w:rPr>
                <w:rFonts w:ascii="Verdana" w:hAnsi="Verdana"/>
                <w:b/>
                <w:sz w:val="16"/>
                <w:szCs w:val="16"/>
                <w:lang w:eastAsia="ru-RU"/>
              </w:rPr>
            </w:pPr>
            <w:r w:rsidRPr="000D43C9">
              <w:rPr>
                <w:rFonts w:ascii="Verdana" w:hAnsi="Verdana"/>
                <w:b/>
                <w:sz w:val="16"/>
                <w:szCs w:val="16"/>
                <w:lang w:eastAsia="ru-RU"/>
              </w:rPr>
              <w:t xml:space="preserve">Н1.0 </w:t>
            </w:r>
            <w:proofErr w:type="spellStart"/>
            <w:r w:rsidRPr="000D43C9">
              <w:rPr>
                <w:rFonts w:ascii="Verdana" w:hAnsi="Verdana"/>
                <w:b/>
                <w:sz w:val="16"/>
                <w:szCs w:val="16"/>
                <w:lang w:eastAsia="ru-RU"/>
              </w:rPr>
              <w:t>на</w:t>
            </w:r>
            <w:proofErr w:type="spellEnd"/>
            <w:r w:rsidRPr="000D43C9">
              <w:rPr>
                <w:rFonts w:ascii="Verdana" w:hAnsi="Verdana"/>
                <w:b/>
                <w:sz w:val="16"/>
                <w:szCs w:val="16"/>
                <w:lang w:eastAsia="ru-RU"/>
              </w:rPr>
              <w:t xml:space="preserve"> 01.04.2018</w:t>
            </w:r>
          </w:p>
        </w:tc>
        <w:tc>
          <w:tcPr>
            <w:tcW w:w="1242" w:type="dxa"/>
            <w:vAlign w:val="center"/>
          </w:tcPr>
          <w:p w:rsidR="000D43C9" w:rsidRPr="000D43C9" w:rsidRDefault="000D43C9" w:rsidP="000D43C9">
            <w:pPr>
              <w:jc w:val="center"/>
              <w:rPr>
                <w:rFonts w:ascii="Verdana" w:hAnsi="Verdana"/>
                <w:b/>
                <w:sz w:val="16"/>
                <w:szCs w:val="16"/>
                <w:lang w:eastAsia="ru-RU"/>
              </w:rPr>
            </w:pPr>
            <w:r w:rsidRPr="000D43C9">
              <w:rPr>
                <w:rFonts w:ascii="Verdana" w:hAnsi="Verdana"/>
                <w:b/>
                <w:sz w:val="16"/>
                <w:szCs w:val="16"/>
                <w:lang w:eastAsia="ru-RU"/>
              </w:rPr>
              <w:t xml:space="preserve">Н1.0 </w:t>
            </w:r>
            <w:proofErr w:type="spellStart"/>
            <w:r w:rsidRPr="000D43C9">
              <w:rPr>
                <w:rFonts w:ascii="Verdana" w:hAnsi="Verdana"/>
                <w:b/>
                <w:sz w:val="16"/>
                <w:szCs w:val="16"/>
                <w:lang w:eastAsia="ru-RU"/>
              </w:rPr>
              <w:t>на</w:t>
            </w:r>
            <w:proofErr w:type="spellEnd"/>
            <w:r w:rsidRPr="000D43C9">
              <w:rPr>
                <w:rFonts w:ascii="Verdana" w:hAnsi="Verdana"/>
                <w:b/>
                <w:sz w:val="16"/>
                <w:szCs w:val="16"/>
                <w:lang w:eastAsia="ru-RU"/>
              </w:rPr>
              <w:t xml:space="preserve"> 01.01.2018</w:t>
            </w:r>
          </w:p>
        </w:tc>
      </w:tr>
      <w:tr w:rsidR="000D43C9" w:rsidRPr="000D43C9" w:rsidTr="000D43C9">
        <w:trPr>
          <w:trHeight w:val="283"/>
        </w:trPr>
        <w:tc>
          <w:tcPr>
            <w:tcW w:w="5386" w:type="dxa"/>
          </w:tcPr>
          <w:p w:rsidR="000D43C9" w:rsidRPr="000D43C9" w:rsidRDefault="000D43C9" w:rsidP="000D43C9">
            <w:pPr>
              <w:rPr>
                <w:rFonts w:ascii="Verdana" w:hAnsi="Verdana"/>
                <w:b/>
                <w:sz w:val="16"/>
                <w:szCs w:val="16"/>
                <w:lang w:val="ru-RU" w:eastAsia="ru-RU"/>
              </w:rPr>
            </w:pPr>
            <w:r w:rsidRPr="000D43C9">
              <w:rPr>
                <w:rFonts w:ascii="Verdana" w:hAnsi="Verdana"/>
                <w:b/>
                <w:sz w:val="16"/>
                <w:szCs w:val="16"/>
                <w:lang w:val="ru-RU" w:eastAsia="ru-RU"/>
              </w:rPr>
              <w:t>Активы, подверженные риску, отраженные на балансовых счетах, в том числе:</w:t>
            </w:r>
          </w:p>
        </w:tc>
        <w:tc>
          <w:tcPr>
            <w:tcW w:w="1242" w:type="dxa"/>
            <w:vAlign w:val="center"/>
          </w:tcPr>
          <w:p w:rsidR="000D43C9" w:rsidRPr="000D43C9" w:rsidRDefault="000D43C9" w:rsidP="000D43C9">
            <w:pPr>
              <w:jc w:val="right"/>
              <w:rPr>
                <w:rFonts w:ascii="Verdana" w:hAnsi="Verdana" w:cs="Arial"/>
                <w:b/>
                <w:sz w:val="16"/>
                <w:szCs w:val="16"/>
                <w:lang w:val="en-US" w:eastAsia="ru-RU"/>
              </w:rPr>
            </w:pPr>
            <w:r w:rsidRPr="000D43C9">
              <w:rPr>
                <w:rFonts w:ascii="Verdana" w:hAnsi="Verdana" w:cs="Arial"/>
                <w:b/>
                <w:sz w:val="16"/>
                <w:szCs w:val="16"/>
                <w:lang w:val="en-US" w:eastAsia="ru-RU"/>
              </w:rPr>
              <w:t>118 958</w:t>
            </w:r>
          </w:p>
        </w:tc>
        <w:tc>
          <w:tcPr>
            <w:tcW w:w="1242" w:type="dxa"/>
            <w:vAlign w:val="center"/>
          </w:tcPr>
          <w:p w:rsidR="000D43C9" w:rsidRPr="000D43C9" w:rsidRDefault="000D43C9" w:rsidP="000D43C9">
            <w:pPr>
              <w:jc w:val="right"/>
              <w:rPr>
                <w:rFonts w:ascii="Verdana" w:hAnsi="Verdana" w:cs="Arial"/>
                <w:b/>
                <w:sz w:val="16"/>
                <w:szCs w:val="16"/>
                <w:lang w:val="en-US" w:eastAsia="ru-RU"/>
              </w:rPr>
            </w:pPr>
            <w:r w:rsidRPr="000D43C9">
              <w:rPr>
                <w:rFonts w:ascii="Verdana" w:hAnsi="Verdana" w:cs="Arial"/>
                <w:b/>
                <w:sz w:val="16"/>
                <w:szCs w:val="16"/>
                <w:lang w:val="en-US" w:eastAsia="ru-RU"/>
              </w:rPr>
              <w:t>1</w:t>
            </w:r>
            <w:r w:rsidRPr="000D43C9">
              <w:rPr>
                <w:rFonts w:ascii="Verdana" w:hAnsi="Verdana" w:cs="Arial"/>
                <w:b/>
                <w:sz w:val="16"/>
                <w:szCs w:val="16"/>
                <w:lang w:eastAsia="ru-RU"/>
              </w:rPr>
              <w:t>18</w:t>
            </w:r>
            <w:r w:rsidRPr="000D43C9">
              <w:rPr>
                <w:rFonts w:ascii="Verdana" w:hAnsi="Verdana" w:cs="Arial"/>
                <w:b/>
                <w:sz w:val="16"/>
                <w:szCs w:val="16"/>
                <w:lang w:val="en-US" w:eastAsia="ru-RU"/>
              </w:rPr>
              <w:t xml:space="preserve"> </w:t>
            </w:r>
            <w:r w:rsidRPr="000D43C9">
              <w:rPr>
                <w:rFonts w:ascii="Verdana" w:hAnsi="Verdana" w:cs="Arial"/>
                <w:b/>
                <w:sz w:val="16"/>
                <w:szCs w:val="16"/>
                <w:lang w:eastAsia="ru-RU"/>
              </w:rPr>
              <w:t>95</w:t>
            </w:r>
            <w:r w:rsidRPr="000D43C9">
              <w:rPr>
                <w:rFonts w:ascii="Verdana" w:hAnsi="Verdana" w:cs="Arial"/>
                <w:b/>
                <w:sz w:val="16"/>
                <w:szCs w:val="16"/>
                <w:lang w:val="en-US" w:eastAsia="ru-RU"/>
              </w:rPr>
              <w:t>8</w:t>
            </w:r>
          </w:p>
        </w:tc>
      </w:tr>
      <w:tr w:rsidR="000D43C9" w:rsidRPr="000D43C9" w:rsidTr="000D43C9">
        <w:trPr>
          <w:trHeight w:val="283"/>
        </w:trPr>
        <w:tc>
          <w:tcPr>
            <w:tcW w:w="5386" w:type="dxa"/>
          </w:tcPr>
          <w:p w:rsidR="000D43C9" w:rsidRPr="000D43C9" w:rsidRDefault="000D43C9" w:rsidP="000D43C9">
            <w:pPr>
              <w:rPr>
                <w:rFonts w:ascii="Verdana" w:hAnsi="Verdana"/>
                <w:i/>
                <w:sz w:val="16"/>
                <w:szCs w:val="16"/>
                <w:lang w:val="ru-RU" w:eastAsia="ru-RU"/>
              </w:rPr>
            </w:pPr>
            <w:r w:rsidRPr="000D43C9">
              <w:rPr>
                <w:rFonts w:ascii="Verdana" w:hAnsi="Verdana"/>
                <w:i/>
                <w:sz w:val="16"/>
                <w:szCs w:val="16"/>
                <w:lang w:val="ru-RU" w:eastAsia="ru-RU"/>
              </w:rPr>
              <w:t xml:space="preserve">Активы </w:t>
            </w:r>
            <w:r w:rsidRPr="000D43C9">
              <w:rPr>
                <w:rFonts w:ascii="Verdana" w:hAnsi="Verdana"/>
                <w:i/>
                <w:sz w:val="16"/>
                <w:szCs w:val="16"/>
                <w:lang w:val="en-US" w:eastAsia="ru-RU"/>
              </w:rPr>
              <w:t>I</w:t>
            </w:r>
            <w:r w:rsidRPr="000D43C9">
              <w:rPr>
                <w:rFonts w:ascii="Verdana" w:hAnsi="Verdana"/>
                <w:i/>
                <w:sz w:val="16"/>
                <w:szCs w:val="16"/>
                <w:lang w:val="ru-RU" w:eastAsia="ru-RU"/>
              </w:rPr>
              <w:t>-ой группы риска (с коэффициентом риска 0%)</w:t>
            </w:r>
          </w:p>
        </w:tc>
        <w:tc>
          <w:tcPr>
            <w:tcW w:w="1242" w:type="dxa"/>
            <w:vAlign w:val="center"/>
          </w:tcPr>
          <w:p w:rsidR="000D43C9" w:rsidRPr="000D43C9" w:rsidRDefault="000D43C9" w:rsidP="000D43C9">
            <w:pPr>
              <w:jc w:val="right"/>
              <w:rPr>
                <w:rFonts w:ascii="Verdana" w:hAnsi="Verdana" w:cs="Arial"/>
                <w:i/>
                <w:sz w:val="16"/>
                <w:szCs w:val="16"/>
                <w:lang w:eastAsia="ru-RU"/>
              </w:rPr>
            </w:pPr>
            <w:r w:rsidRPr="000D43C9">
              <w:rPr>
                <w:rFonts w:ascii="Verdana" w:hAnsi="Verdana" w:cs="Arial"/>
                <w:i/>
                <w:sz w:val="16"/>
                <w:szCs w:val="16"/>
                <w:lang w:val="en-US" w:eastAsia="ru-RU"/>
              </w:rPr>
              <w:t>4</w:t>
            </w:r>
            <w:r w:rsidRPr="000D43C9">
              <w:rPr>
                <w:rFonts w:ascii="Verdana" w:hAnsi="Verdana" w:cs="Arial"/>
                <w:i/>
                <w:sz w:val="16"/>
                <w:szCs w:val="16"/>
                <w:lang w:eastAsia="ru-RU"/>
              </w:rPr>
              <w:t>6</w:t>
            </w:r>
            <w:r w:rsidRPr="000D43C9">
              <w:rPr>
                <w:rFonts w:ascii="Verdana" w:hAnsi="Verdana" w:cs="Arial"/>
                <w:i/>
                <w:sz w:val="16"/>
                <w:szCs w:val="16"/>
                <w:lang w:val="en-US" w:eastAsia="ru-RU"/>
              </w:rPr>
              <w:t xml:space="preserve"> </w:t>
            </w:r>
            <w:r w:rsidRPr="000D43C9">
              <w:rPr>
                <w:rFonts w:ascii="Verdana" w:hAnsi="Verdana" w:cs="Arial"/>
                <w:i/>
                <w:sz w:val="16"/>
                <w:szCs w:val="16"/>
                <w:lang w:eastAsia="ru-RU"/>
              </w:rPr>
              <w:t>644</w:t>
            </w:r>
          </w:p>
        </w:tc>
        <w:tc>
          <w:tcPr>
            <w:tcW w:w="1242" w:type="dxa"/>
            <w:vAlign w:val="center"/>
          </w:tcPr>
          <w:p w:rsidR="000D43C9" w:rsidRPr="000D43C9" w:rsidRDefault="000D43C9" w:rsidP="000D43C9">
            <w:pPr>
              <w:jc w:val="right"/>
              <w:rPr>
                <w:rFonts w:ascii="Verdana" w:hAnsi="Verdana" w:cs="Arial"/>
                <w:i/>
                <w:sz w:val="16"/>
                <w:szCs w:val="16"/>
                <w:lang w:eastAsia="ru-RU"/>
              </w:rPr>
            </w:pPr>
            <w:r w:rsidRPr="000D43C9">
              <w:rPr>
                <w:rFonts w:ascii="Verdana" w:hAnsi="Verdana" w:cs="Arial"/>
                <w:i/>
                <w:sz w:val="16"/>
                <w:szCs w:val="16"/>
                <w:lang w:eastAsia="ru-RU"/>
              </w:rPr>
              <w:t>44</w:t>
            </w:r>
            <w:r w:rsidRPr="000D43C9">
              <w:rPr>
                <w:rFonts w:ascii="Verdana" w:hAnsi="Verdana" w:cs="Arial"/>
                <w:i/>
                <w:sz w:val="16"/>
                <w:szCs w:val="16"/>
                <w:lang w:val="en-US" w:eastAsia="ru-RU"/>
              </w:rPr>
              <w:t xml:space="preserve"> </w:t>
            </w:r>
            <w:r w:rsidRPr="000D43C9">
              <w:rPr>
                <w:rFonts w:ascii="Verdana" w:hAnsi="Verdana" w:cs="Arial"/>
                <w:i/>
                <w:sz w:val="16"/>
                <w:szCs w:val="16"/>
                <w:lang w:eastAsia="ru-RU"/>
              </w:rPr>
              <w:t>605</w:t>
            </w:r>
          </w:p>
        </w:tc>
      </w:tr>
      <w:tr w:rsidR="000D43C9" w:rsidRPr="000D43C9" w:rsidTr="000D43C9">
        <w:trPr>
          <w:trHeight w:val="283"/>
        </w:trPr>
        <w:tc>
          <w:tcPr>
            <w:tcW w:w="5386" w:type="dxa"/>
          </w:tcPr>
          <w:p w:rsidR="000D43C9" w:rsidRPr="000D43C9" w:rsidRDefault="000D43C9" w:rsidP="000D43C9">
            <w:pPr>
              <w:rPr>
                <w:rFonts w:ascii="Verdana" w:hAnsi="Verdana"/>
                <w:sz w:val="16"/>
                <w:szCs w:val="16"/>
                <w:lang w:val="ru-RU" w:eastAsia="ru-RU"/>
              </w:rPr>
            </w:pPr>
            <w:r w:rsidRPr="000D43C9">
              <w:rPr>
                <w:rFonts w:ascii="Verdana" w:hAnsi="Verdana"/>
                <w:sz w:val="16"/>
                <w:szCs w:val="16"/>
                <w:lang w:val="ru-RU" w:eastAsia="ru-RU"/>
              </w:rPr>
              <w:t xml:space="preserve">Резервы под активы </w:t>
            </w:r>
            <w:r w:rsidRPr="000D43C9">
              <w:rPr>
                <w:rFonts w:ascii="Verdana" w:hAnsi="Verdana"/>
                <w:sz w:val="16"/>
                <w:szCs w:val="16"/>
                <w:lang w:val="en-US" w:eastAsia="ru-RU"/>
              </w:rPr>
              <w:t>I</w:t>
            </w:r>
            <w:r w:rsidRPr="000D43C9">
              <w:rPr>
                <w:rFonts w:ascii="Verdana" w:hAnsi="Verdana"/>
                <w:sz w:val="16"/>
                <w:szCs w:val="16"/>
                <w:lang w:val="ru-RU" w:eastAsia="ru-RU"/>
              </w:rPr>
              <w:t>-ой группы риска</w:t>
            </w:r>
          </w:p>
        </w:tc>
        <w:tc>
          <w:tcPr>
            <w:tcW w:w="1242" w:type="dxa"/>
            <w:vAlign w:val="center"/>
          </w:tcPr>
          <w:p w:rsidR="000D43C9" w:rsidRPr="000D43C9" w:rsidRDefault="000D43C9" w:rsidP="000D43C9">
            <w:pPr>
              <w:jc w:val="right"/>
              <w:rPr>
                <w:rFonts w:ascii="Verdana" w:hAnsi="Verdana" w:cs="Arial"/>
                <w:sz w:val="16"/>
                <w:szCs w:val="16"/>
                <w:lang w:val="en-US" w:eastAsia="ru-RU"/>
              </w:rPr>
            </w:pPr>
            <w:r w:rsidRPr="000D43C9">
              <w:rPr>
                <w:rFonts w:ascii="Verdana" w:hAnsi="Verdana" w:cs="Arial"/>
                <w:sz w:val="16"/>
                <w:szCs w:val="16"/>
                <w:lang w:val="en-US" w:eastAsia="ru-RU"/>
              </w:rPr>
              <w:t>-</w:t>
            </w:r>
          </w:p>
        </w:tc>
        <w:tc>
          <w:tcPr>
            <w:tcW w:w="1242" w:type="dxa"/>
            <w:vAlign w:val="center"/>
          </w:tcPr>
          <w:p w:rsidR="000D43C9" w:rsidRPr="000D43C9" w:rsidRDefault="000D43C9" w:rsidP="000D43C9">
            <w:pPr>
              <w:jc w:val="right"/>
              <w:rPr>
                <w:rFonts w:ascii="Verdana" w:hAnsi="Verdana" w:cs="Arial"/>
                <w:sz w:val="16"/>
                <w:szCs w:val="16"/>
                <w:lang w:val="en-US" w:eastAsia="ru-RU"/>
              </w:rPr>
            </w:pPr>
            <w:r w:rsidRPr="000D43C9">
              <w:rPr>
                <w:rFonts w:ascii="Verdana" w:hAnsi="Verdana" w:cs="Arial"/>
                <w:sz w:val="16"/>
                <w:szCs w:val="16"/>
                <w:lang w:val="en-US" w:eastAsia="ru-RU"/>
              </w:rPr>
              <w:t>-</w:t>
            </w:r>
          </w:p>
        </w:tc>
      </w:tr>
      <w:tr w:rsidR="000D43C9" w:rsidRPr="000D43C9" w:rsidTr="000D43C9">
        <w:trPr>
          <w:trHeight w:val="283"/>
        </w:trPr>
        <w:tc>
          <w:tcPr>
            <w:tcW w:w="5386" w:type="dxa"/>
          </w:tcPr>
          <w:p w:rsidR="000D43C9" w:rsidRPr="000D43C9" w:rsidRDefault="000D43C9" w:rsidP="000D43C9">
            <w:pPr>
              <w:rPr>
                <w:rFonts w:ascii="Verdana" w:hAnsi="Verdana"/>
                <w:sz w:val="16"/>
                <w:szCs w:val="16"/>
                <w:lang w:val="ru-RU" w:eastAsia="ru-RU"/>
              </w:rPr>
            </w:pPr>
            <w:r w:rsidRPr="000D43C9">
              <w:rPr>
                <w:rFonts w:ascii="Verdana" w:hAnsi="Verdana"/>
                <w:sz w:val="16"/>
                <w:szCs w:val="16"/>
                <w:lang w:val="ru-RU" w:eastAsia="ru-RU"/>
              </w:rPr>
              <w:t xml:space="preserve">Кредитный риск по активам </w:t>
            </w:r>
            <w:r w:rsidRPr="000D43C9">
              <w:rPr>
                <w:rFonts w:ascii="Verdana" w:hAnsi="Verdana"/>
                <w:sz w:val="16"/>
                <w:szCs w:val="16"/>
                <w:lang w:val="en-US" w:eastAsia="ru-RU"/>
              </w:rPr>
              <w:t>I</w:t>
            </w:r>
            <w:r w:rsidRPr="000D43C9">
              <w:rPr>
                <w:rFonts w:ascii="Verdana" w:hAnsi="Verdana"/>
                <w:sz w:val="16"/>
                <w:szCs w:val="16"/>
                <w:lang w:val="ru-RU" w:eastAsia="ru-RU"/>
              </w:rPr>
              <w:t>-ой группы риска</w:t>
            </w:r>
          </w:p>
        </w:tc>
        <w:tc>
          <w:tcPr>
            <w:tcW w:w="1242" w:type="dxa"/>
            <w:vAlign w:val="center"/>
          </w:tcPr>
          <w:p w:rsidR="000D43C9" w:rsidRPr="000D43C9" w:rsidRDefault="000D43C9" w:rsidP="000D43C9">
            <w:pPr>
              <w:jc w:val="right"/>
              <w:rPr>
                <w:rFonts w:ascii="Verdana" w:hAnsi="Verdana" w:cs="Arial"/>
                <w:sz w:val="16"/>
                <w:szCs w:val="16"/>
                <w:lang w:val="en-US" w:eastAsia="ru-RU"/>
              </w:rPr>
            </w:pPr>
            <w:r w:rsidRPr="000D43C9">
              <w:rPr>
                <w:rFonts w:ascii="Verdana" w:hAnsi="Verdana" w:cs="Arial"/>
                <w:sz w:val="16"/>
                <w:szCs w:val="16"/>
                <w:lang w:val="en-US" w:eastAsia="ru-RU"/>
              </w:rPr>
              <w:t>-</w:t>
            </w:r>
          </w:p>
        </w:tc>
        <w:tc>
          <w:tcPr>
            <w:tcW w:w="1242" w:type="dxa"/>
            <w:vAlign w:val="center"/>
          </w:tcPr>
          <w:p w:rsidR="000D43C9" w:rsidRPr="000D43C9" w:rsidRDefault="000D43C9" w:rsidP="000D43C9">
            <w:pPr>
              <w:jc w:val="right"/>
              <w:rPr>
                <w:rFonts w:ascii="Verdana" w:hAnsi="Verdana" w:cs="Arial"/>
                <w:sz w:val="16"/>
                <w:szCs w:val="16"/>
                <w:lang w:val="en-US" w:eastAsia="ru-RU"/>
              </w:rPr>
            </w:pPr>
            <w:r w:rsidRPr="000D43C9">
              <w:rPr>
                <w:rFonts w:ascii="Verdana" w:hAnsi="Verdana" w:cs="Arial"/>
                <w:sz w:val="16"/>
                <w:szCs w:val="16"/>
                <w:lang w:val="en-US" w:eastAsia="ru-RU"/>
              </w:rPr>
              <w:t>-</w:t>
            </w:r>
          </w:p>
        </w:tc>
      </w:tr>
      <w:tr w:rsidR="000D43C9" w:rsidRPr="000D43C9" w:rsidTr="000D43C9">
        <w:trPr>
          <w:trHeight w:val="283"/>
        </w:trPr>
        <w:tc>
          <w:tcPr>
            <w:tcW w:w="5386" w:type="dxa"/>
          </w:tcPr>
          <w:p w:rsidR="000D43C9" w:rsidRPr="000D43C9" w:rsidRDefault="000D43C9" w:rsidP="000D43C9">
            <w:pPr>
              <w:rPr>
                <w:rFonts w:ascii="Verdana" w:hAnsi="Verdana"/>
                <w:i/>
                <w:sz w:val="16"/>
                <w:szCs w:val="16"/>
                <w:lang w:val="ru-RU" w:eastAsia="ru-RU"/>
              </w:rPr>
            </w:pPr>
            <w:r w:rsidRPr="000D43C9">
              <w:rPr>
                <w:rFonts w:ascii="Verdana" w:hAnsi="Verdana"/>
                <w:i/>
                <w:sz w:val="16"/>
                <w:szCs w:val="16"/>
                <w:lang w:val="ru-RU" w:eastAsia="ru-RU"/>
              </w:rPr>
              <w:t xml:space="preserve">Активы </w:t>
            </w:r>
            <w:r w:rsidRPr="000D43C9">
              <w:rPr>
                <w:rFonts w:ascii="Verdana" w:hAnsi="Verdana"/>
                <w:i/>
                <w:sz w:val="16"/>
                <w:szCs w:val="16"/>
                <w:lang w:val="en-US" w:eastAsia="ru-RU"/>
              </w:rPr>
              <w:t>II</w:t>
            </w:r>
            <w:r w:rsidRPr="000D43C9">
              <w:rPr>
                <w:rFonts w:ascii="Verdana" w:hAnsi="Verdana"/>
                <w:i/>
                <w:sz w:val="16"/>
                <w:szCs w:val="16"/>
                <w:lang w:val="ru-RU" w:eastAsia="ru-RU"/>
              </w:rPr>
              <w:t xml:space="preserve"> -ой группы риска (с коэффициентом риска 20%)</w:t>
            </w:r>
          </w:p>
        </w:tc>
        <w:tc>
          <w:tcPr>
            <w:tcW w:w="1242" w:type="dxa"/>
          </w:tcPr>
          <w:p w:rsidR="000D43C9" w:rsidRPr="000D43C9" w:rsidRDefault="000D43C9" w:rsidP="000D43C9">
            <w:pPr>
              <w:jc w:val="right"/>
              <w:rPr>
                <w:rFonts w:ascii="Verdana" w:hAnsi="Verdana" w:cs="Arial"/>
                <w:i/>
                <w:sz w:val="16"/>
                <w:szCs w:val="16"/>
                <w:lang w:eastAsia="ru-RU"/>
              </w:rPr>
            </w:pPr>
            <w:r w:rsidRPr="000D43C9">
              <w:rPr>
                <w:rFonts w:ascii="Verdana" w:hAnsi="Verdana" w:cs="Arial"/>
                <w:i/>
                <w:sz w:val="16"/>
                <w:szCs w:val="16"/>
                <w:lang w:eastAsia="ru-RU"/>
              </w:rPr>
              <w:t>1</w:t>
            </w:r>
            <w:r w:rsidRPr="000D43C9">
              <w:rPr>
                <w:rFonts w:ascii="Verdana" w:hAnsi="Verdana" w:cs="Arial"/>
                <w:i/>
                <w:sz w:val="16"/>
                <w:szCs w:val="16"/>
                <w:lang w:val="en-US" w:eastAsia="ru-RU"/>
              </w:rPr>
              <w:t xml:space="preserve"> </w:t>
            </w:r>
            <w:r w:rsidRPr="000D43C9">
              <w:rPr>
                <w:rFonts w:ascii="Verdana" w:hAnsi="Verdana" w:cs="Arial"/>
                <w:i/>
                <w:sz w:val="16"/>
                <w:szCs w:val="16"/>
                <w:lang w:eastAsia="ru-RU"/>
              </w:rPr>
              <w:t>515</w:t>
            </w:r>
          </w:p>
        </w:tc>
        <w:tc>
          <w:tcPr>
            <w:tcW w:w="1242" w:type="dxa"/>
          </w:tcPr>
          <w:p w:rsidR="000D43C9" w:rsidRPr="000D43C9" w:rsidRDefault="000D43C9" w:rsidP="000D43C9">
            <w:pPr>
              <w:jc w:val="right"/>
              <w:rPr>
                <w:rFonts w:ascii="Verdana" w:hAnsi="Verdana" w:cs="Arial"/>
                <w:i/>
                <w:sz w:val="16"/>
                <w:szCs w:val="16"/>
                <w:lang w:eastAsia="ru-RU"/>
              </w:rPr>
            </w:pPr>
            <w:r w:rsidRPr="000D43C9">
              <w:rPr>
                <w:rFonts w:ascii="Verdana" w:hAnsi="Verdana" w:cs="Arial"/>
                <w:i/>
                <w:sz w:val="16"/>
                <w:szCs w:val="16"/>
                <w:lang w:eastAsia="ru-RU"/>
              </w:rPr>
              <w:t>2</w:t>
            </w:r>
            <w:r w:rsidRPr="000D43C9">
              <w:rPr>
                <w:rFonts w:ascii="Verdana" w:hAnsi="Verdana" w:cs="Arial"/>
                <w:i/>
                <w:sz w:val="16"/>
                <w:szCs w:val="16"/>
                <w:lang w:val="en-US" w:eastAsia="ru-RU"/>
              </w:rPr>
              <w:t xml:space="preserve"> 7</w:t>
            </w:r>
            <w:r w:rsidRPr="000D43C9">
              <w:rPr>
                <w:rFonts w:ascii="Verdana" w:hAnsi="Verdana" w:cs="Arial"/>
                <w:i/>
                <w:sz w:val="16"/>
                <w:szCs w:val="16"/>
                <w:lang w:eastAsia="ru-RU"/>
              </w:rPr>
              <w:t>01</w:t>
            </w:r>
          </w:p>
        </w:tc>
      </w:tr>
      <w:tr w:rsidR="000D43C9" w:rsidRPr="000D43C9" w:rsidTr="000D43C9">
        <w:trPr>
          <w:trHeight w:val="283"/>
        </w:trPr>
        <w:tc>
          <w:tcPr>
            <w:tcW w:w="5386" w:type="dxa"/>
          </w:tcPr>
          <w:p w:rsidR="000D43C9" w:rsidRPr="000D43C9" w:rsidRDefault="000D43C9" w:rsidP="000D43C9">
            <w:pPr>
              <w:rPr>
                <w:rFonts w:ascii="Verdana" w:hAnsi="Verdana"/>
                <w:sz w:val="16"/>
                <w:szCs w:val="16"/>
                <w:lang w:val="ru-RU" w:eastAsia="ru-RU"/>
              </w:rPr>
            </w:pPr>
            <w:r w:rsidRPr="000D43C9">
              <w:rPr>
                <w:rFonts w:ascii="Verdana" w:hAnsi="Verdana"/>
                <w:sz w:val="16"/>
                <w:szCs w:val="16"/>
                <w:lang w:val="ru-RU" w:eastAsia="ru-RU"/>
              </w:rPr>
              <w:t xml:space="preserve">Резервы под активы </w:t>
            </w:r>
            <w:r w:rsidRPr="000D43C9">
              <w:rPr>
                <w:rFonts w:ascii="Verdana" w:hAnsi="Verdana"/>
                <w:sz w:val="16"/>
                <w:szCs w:val="16"/>
                <w:lang w:val="en-US" w:eastAsia="ru-RU"/>
              </w:rPr>
              <w:t>II</w:t>
            </w:r>
            <w:r w:rsidRPr="000D43C9">
              <w:rPr>
                <w:rFonts w:ascii="Verdana" w:hAnsi="Verdana"/>
                <w:sz w:val="16"/>
                <w:szCs w:val="16"/>
                <w:lang w:val="ru-RU" w:eastAsia="ru-RU"/>
              </w:rPr>
              <w:t>-ой группы риска</w:t>
            </w:r>
          </w:p>
        </w:tc>
        <w:tc>
          <w:tcPr>
            <w:tcW w:w="1242" w:type="dxa"/>
          </w:tcPr>
          <w:p w:rsidR="000D43C9" w:rsidRPr="000D43C9" w:rsidRDefault="000D43C9" w:rsidP="000D43C9">
            <w:pPr>
              <w:jc w:val="right"/>
              <w:rPr>
                <w:rFonts w:ascii="Verdana" w:hAnsi="Verdana" w:cs="Arial"/>
                <w:sz w:val="16"/>
                <w:szCs w:val="16"/>
                <w:lang w:eastAsia="ru-RU"/>
              </w:rPr>
            </w:pPr>
            <w:r w:rsidRPr="000D43C9">
              <w:rPr>
                <w:rFonts w:ascii="Verdana" w:hAnsi="Verdana" w:cs="Arial"/>
                <w:sz w:val="16"/>
                <w:szCs w:val="16"/>
                <w:lang w:eastAsia="ru-RU"/>
              </w:rPr>
              <w:t>1</w:t>
            </w:r>
          </w:p>
        </w:tc>
        <w:tc>
          <w:tcPr>
            <w:tcW w:w="1242" w:type="dxa"/>
          </w:tcPr>
          <w:p w:rsidR="000D43C9" w:rsidRPr="000D43C9" w:rsidRDefault="000D43C9" w:rsidP="000D43C9">
            <w:pPr>
              <w:jc w:val="right"/>
              <w:rPr>
                <w:rFonts w:ascii="Verdana" w:hAnsi="Verdana" w:cs="Arial"/>
                <w:sz w:val="16"/>
                <w:szCs w:val="16"/>
                <w:lang w:val="en-US" w:eastAsia="ru-RU"/>
              </w:rPr>
            </w:pPr>
            <w:r w:rsidRPr="000D43C9">
              <w:rPr>
                <w:rFonts w:ascii="Verdana" w:hAnsi="Verdana" w:cs="Arial"/>
                <w:sz w:val="16"/>
                <w:szCs w:val="16"/>
                <w:lang w:val="en-US" w:eastAsia="ru-RU"/>
              </w:rPr>
              <w:t>-</w:t>
            </w:r>
          </w:p>
        </w:tc>
      </w:tr>
      <w:tr w:rsidR="000D43C9" w:rsidRPr="000D43C9" w:rsidTr="000D43C9">
        <w:trPr>
          <w:trHeight w:val="283"/>
        </w:trPr>
        <w:tc>
          <w:tcPr>
            <w:tcW w:w="5386" w:type="dxa"/>
          </w:tcPr>
          <w:p w:rsidR="000D43C9" w:rsidRPr="000D43C9" w:rsidRDefault="000D43C9" w:rsidP="000D43C9">
            <w:pPr>
              <w:rPr>
                <w:rFonts w:ascii="Verdana" w:hAnsi="Verdana"/>
                <w:sz w:val="16"/>
                <w:szCs w:val="16"/>
                <w:lang w:val="ru-RU" w:eastAsia="ru-RU"/>
              </w:rPr>
            </w:pPr>
            <w:r w:rsidRPr="000D43C9">
              <w:rPr>
                <w:rFonts w:ascii="Verdana" w:hAnsi="Verdana"/>
                <w:sz w:val="16"/>
                <w:szCs w:val="16"/>
                <w:lang w:val="ru-RU" w:eastAsia="ru-RU"/>
              </w:rPr>
              <w:t xml:space="preserve">Кредитный риск по активам </w:t>
            </w:r>
            <w:r w:rsidRPr="000D43C9">
              <w:rPr>
                <w:rFonts w:ascii="Verdana" w:hAnsi="Verdana"/>
                <w:sz w:val="16"/>
                <w:szCs w:val="16"/>
                <w:lang w:val="en-US" w:eastAsia="ru-RU"/>
              </w:rPr>
              <w:t>II</w:t>
            </w:r>
            <w:r w:rsidRPr="000D43C9">
              <w:rPr>
                <w:rFonts w:ascii="Verdana" w:hAnsi="Verdana"/>
                <w:sz w:val="16"/>
                <w:szCs w:val="16"/>
                <w:lang w:val="ru-RU" w:eastAsia="ru-RU"/>
              </w:rPr>
              <w:t>-ой группы риска</w:t>
            </w:r>
          </w:p>
        </w:tc>
        <w:tc>
          <w:tcPr>
            <w:tcW w:w="1242" w:type="dxa"/>
          </w:tcPr>
          <w:p w:rsidR="000D43C9" w:rsidRPr="000D43C9" w:rsidRDefault="000D43C9" w:rsidP="000D43C9">
            <w:pPr>
              <w:jc w:val="right"/>
              <w:rPr>
                <w:rFonts w:ascii="Verdana" w:hAnsi="Verdana" w:cs="Arial"/>
                <w:sz w:val="16"/>
                <w:szCs w:val="16"/>
                <w:lang w:eastAsia="ru-RU"/>
              </w:rPr>
            </w:pPr>
            <w:r w:rsidRPr="000D43C9">
              <w:rPr>
                <w:rFonts w:ascii="Verdana" w:hAnsi="Verdana" w:cs="Arial"/>
                <w:sz w:val="16"/>
                <w:szCs w:val="16"/>
                <w:lang w:eastAsia="ru-RU"/>
              </w:rPr>
              <w:t>303</w:t>
            </w:r>
          </w:p>
        </w:tc>
        <w:tc>
          <w:tcPr>
            <w:tcW w:w="1242" w:type="dxa"/>
          </w:tcPr>
          <w:p w:rsidR="000D43C9" w:rsidRPr="000D43C9" w:rsidRDefault="000D43C9" w:rsidP="000D43C9">
            <w:pPr>
              <w:jc w:val="right"/>
              <w:rPr>
                <w:rFonts w:ascii="Verdana" w:hAnsi="Verdana" w:cs="Arial"/>
                <w:sz w:val="16"/>
                <w:szCs w:val="16"/>
                <w:lang w:eastAsia="ru-RU"/>
              </w:rPr>
            </w:pPr>
            <w:r w:rsidRPr="000D43C9">
              <w:rPr>
                <w:rFonts w:ascii="Verdana" w:hAnsi="Verdana" w:cs="Arial"/>
                <w:sz w:val="16"/>
                <w:szCs w:val="16"/>
                <w:lang w:eastAsia="ru-RU"/>
              </w:rPr>
              <w:t>540</w:t>
            </w:r>
          </w:p>
        </w:tc>
      </w:tr>
      <w:tr w:rsidR="000D43C9" w:rsidRPr="000D43C9" w:rsidTr="000D43C9">
        <w:trPr>
          <w:trHeight w:val="283"/>
        </w:trPr>
        <w:tc>
          <w:tcPr>
            <w:tcW w:w="5386" w:type="dxa"/>
          </w:tcPr>
          <w:p w:rsidR="000D43C9" w:rsidRPr="000D43C9" w:rsidRDefault="000D43C9" w:rsidP="000D43C9">
            <w:pPr>
              <w:rPr>
                <w:rFonts w:ascii="Verdana" w:hAnsi="Verdana"/>
                <w:i/>
                <w:sz w:val="16"/>
                <w:szCs w:val="16"/>
                <w:lang w:val="ru-RU" w:eastAsia="ru-RU"/>
              </w:rPr>
            </w:pPr>
            <w:r w:rsidRPr="000D43C9">
              <w:rPr>
                <w:rFonts w:ascii="Verdana" w:hAnsi="Verdana"/>
                <w:i/>
                <w:sz w:val="16"/>
                <w:szCs w:val="16"/>
                <w:lang w:val="ru-RU" w:eastAsia="ru-RU"/>
              </w:rPr>
              <w:t xml:space="preserve">Активы </w:t>
            </w:r>
            <w:r w:rsidRPr="000D43C9">
              <w:rPr>
                <w:rFonts w:ascii="Verdana" w:hAnsi="Verdana"/>
                <w:i/>
                <w:sz w:val="16"/>
                <w:szCs w:val="16"/>
                <w:lang w:val="en-US" w:eastAsia="ru-RU"/>
              </w:rPr>
              <w:t>III</w:t>
            </w:r>
            <w:r w:rsidRPr="000D43C9">
              <w:rPr>
                <w:rFonts w:ascii="Verdana" w:hAnsi="Verdana"/>
                <w:i/>
                <w:sz w:val="16"/>
                <w:szCs w:val="16"/>
                <w:lang w:val="ru-RU" w:eastAsia="ru-RU"/>
              </w:rPr>
              <w:t>-ой группы риска (с коэффициентом риска 50%)</w:t>
            </w:r>
          </w:p>
        </w:tc>
        <w:tc>
          <w:tcPr>
            <w:tcW w:w="1242" w:type="dxa"/>
          </w:tcPr>
          <w:p w:rsidR="000D43C9" w:rsidRPr="000D43C9" w:rsidRDefault="000D43C9" w:rsidP="000D43C9">
            <w:pPr>
              <w:jc w:val="right"/>
              <w:rPr>
                <w:rFonts w:ascii="Verdana" w:hAnsi="Verdana" w:cs="Arial"/>
                <w:i/>
                <w:sz w:val="16"/>
                <w:szCs w:val="16"/>
                <w:lang w:val="en-US" w:eastAsia="ru-RU"/>
              </w:rPr>
            </w:pPr>
            <w:r w:rsidRPr="000D43C9">
              <w:rPr>
                <w:rFonts w:ascii="Verdana" w:hAnsi="Verdana" w:cs="Arial"/>
                <w:i/>
                <w:sz w:val="16"/>
                <w:szCs w:val="16"/>
                <w:lang w:val="en-US" w:eastAsia="ru-RU"/>
              </w:rPr>
              <w:t>-</w:t>
            </w:r>
          </w:p>
        </w:tc>
        <w:tc>
          <w:tcPr>
            <w:tcW w:w="1242" w:type="dxa"/>
          </w:tcPr>
          <w:p w:rsidR="000D43C9" w:rsidRPr="000D43C9" w:rsidRDefault="000D43C9" w:rsidP="000D43C9">
            <w:pPr>
              <w:jc w:val="right"/>
              <w:rPr>
                <w:rFonts w:ascii="Verdana" w:hAnsi="Verdana" w:cs="Arial"/>
                <w:i/>
                <w:sz w:val="16"/>
                <w:szCs w:val="16"/>
                <w:lang w:val="en-US" w:eastAsia="ru-RU"/>
              </w:rPr>
            </w:pPr>
            <w:r w:rsidRPr="000D43C9">
              <w:rPr>
                <w:rFonts w:ascii="Verdana" w:hAnsi="Verdana" w:cs="Arial"/>
                <w:i/>
                <w:sz w:val="16"/>
                <w:szCs w:val="16"/>
                <w:lang w:val="en-US" w:eastAsia="ru-RU"/>
              </w:rPr>
              <w:t>-</w:t>
            </w:r>
          </w:p>
        </w:tc>
      </w:tr>
      <w:tr w:rsidR="000D43C9" w:rsidRPr="000D43C9" w:rsidTr="000D43C9">
        <w:trPr>
          <w:trHeight w:val="283"/>
        </w:trPr>
        <w:tc>
          <w:tcPr>
            <w:tcW w:w="5386" w:type="dxa"/>
          </w:tcPr>
          <w:p w:rsidR="000D43C9" w:rsidRPr="000D43C9" w:rsidRDefault="000D43C9" w:rsidP="000D43C9">
            <w:pPr>
              <w:rPr>
                <w:rFonts w:ascii="Verdana" w:hAnsi="Verdana"/>
                <w:sz w:val="16"/>
                <w:szCs w:val="16"/>
                <w:lang w:val="ru-RU" w:eastAsia="ru-RU"/>
              </w:rPr>
            </w:pPr>
            <w:r w:rsidRPr="000D43C9">
              <w:rPr>
                <w:rFonts w:ascii="Verdana" w:hAnsi="Verdana"/>
                <w:sz w:val="16"/>
                <w:szCs w:val="16"/>
                <w:lang w:val="ru-RU" w:eastAsia="ru-RU"/>
              </w:rPr>
              <w:t xml:space="preserve">Резервы под активы </w:t>
            </w:r>
            <w:r w:rsidRPr="000D43C9">
              <w:rPr>
                <w:rFonts w:ascii="Verdana" w:hAnsi="Verdana"/>
                <w:sz w:val="16"/>
                <w:szCs w:val="16"/>
                <w:lang w:val="en-US" w:eastAsia="ru-RU"/>
              </w:rPr>
              <w:t>III</w:t>
            </w:r>
            <w:r w:rsidRPr="000D43C9">
              <w:rPr>
                <w:rFonts w:ascii="Verdana" w:hAnsi="Verdana"/>
                <w:sz w:val="16"/>
                <w:szCs w:val="16"/>
                <w:lang w:val="ru-RU" w:eastAsia="ru-RU"/>
              </w:rPr>
              <w:t>-ой группы риска</w:t>
            </w:r>
          </w:p>
        </w:tc>
        <w:tc>
          <w:tcPr>
            <w:tcW w:w="1242" w:type="dxa"/>
          </w:tcPr>
          <w:p w:rsidR="000D43C9" w:rsidRPr="000D43C9" w:rsidRDefault="000D43C9" w:rsidP="000D43C9">
            <w:pPr>
              <w:jc w:val="right"/>
              <w:rPr>
                <w:rFonts w:ascii="Verdana" w:hAnsi="Verdana" w:cs="Arial"/>
                <w:sz w:val="16"/>
                <w:szCs w:val="16"/>
                <w:lang w:val="en-US" w:eastAsia="ru-RU"/>
              </w:rPr>
            </w:pPr>
            <w:r w:rsidRPr="000D43C9">
              <w:rPr>
                <w:rFonts w:ascii="Verdana" w:hAnsi="Verdana" w:cs="Arial"/>
                <w:sz w:val="16"/>
                <w:szCs w:val="16"/>
                <w:lang w:val="en-US" w:eastAsia="ru-RU"/>
              </w:rPr>
              <w:t>-</w:t>
            </w:r>
          </w:p>
        </w:tc>
        <w:tc>
          <w:tcPr>
            <w:tcW w:w="1242" w:type="dxa"/>
          </w:tcPr>
          <w:p w:rsidR="000D43C9" w:rsidRPr="000D43C9" w:rsidRDefault="000D43C9" w:rsidP="000D43C9">
            <w:pPr>
              <w:jc w:val="right"/>
              <w:rPr>
                <w:rFonts w:ascii="Verdana" w:hAnsi="Verdana" w:cs="Arial"/>
                <w:sz w:val="16"/>
                <w:szCs w:val="16"/>
                <w:lang w:val="en-US" w:eastAsia="ru-RU"/>
              </w:rPr>
            </w:pPr>
            <w:r w:rsidRPr="000D43C9">
              <w:rPr>
                <w:rFonts w:ascii="Verdana" w:hAnsi="Verdana" w:cs="Arial"/>
                <w:sz w:val="16"/>
                <w:szCs w:val="16"/>
                <w:lang w:val="en-US" w:eastAsia="ru-RU"/>
              </w:rPr>
              <w:t>-</w:t>
            </w:r>
          </w:p>
        </w:tc>
      </w:tr>
      <w:tr w:rsidR="000D43C9" w:rsidRPr="000D43C9" w:rsidTr="000D43C9">
        <w:trPr>
          <w:trHeight w:val="283"/>
        </w:trPr>
        <w:tc>
          <w:tcPr>
            <w:tcW w:w="5386" w:type="dxa"/>
          </w:tcPr>
          <w:p w:rsidR="000D43C9" w:rsidRPr="000D43C9" w:rsidRDefault="000D43C9" w:rsidP="000D43C9">
            <w:pPr>
              <w:rPr>
                <w:rFonts w:ascii="Verdana" w:hAnsi="Verdana"/>
                <w:sz w:val="16"/>
                <w:szCs w:val="16"/>
                <w:lang w:val="ru-RU" w:eastAsia="ru-RU"/>
              </w:rPr>
            </w:pPr>
            <w:r w:rsidRPr="000D43C9">
              <w:rPr>
                <w:rFonts w:ascii="Verdana" w:hAnsi="Verdana"/>
                <w:sz w:val="16"/>
                <w:szCs w:val="16"/>
                <w:lang w:val="ru-RU" w:eastAsia="ru-RU"/>
              </w:rPr>
              <w:t xml:space="preserve">Кредитный риск по активам </w:t>
            </w:r>
            <w:r w:rsidRPr="000D43C9">
              <w:rPr>
                <w:rFonts w:ascii="Verdana" w:hAnsi="Verdana"/>
                <w:sz w:val="16"/>
                <w:szCs w:val="16"/>
                <w:lang w:val="en-US" w:eastAsia="ru-RU"/>
              </w:rPr>
              <w:t>III</w:t>
            </w:r>
            <w:r w:rsidRPr="000D43C9">
              <w:rPr>
                <w:rFonts w:ascii="Verdana" w:hAnsi="Verdana"/>
                <w:sz w:val="16"/>
                <w:szCs w:val="16"/>
                <w:lang w:val="ru-RU" w:eastAsia="ru-RU"/>
              </w:rPr>
              <w:t>-ой группы риска</w:t>
            </w:r>
          </w:p>
        </w:tc>
        <w:tc>
          <w:tcPr>
            <w:tcW w:w="1242" w:type="dxa"/>
          </w:tcPr>
          <w:p w:rsidR="000D43C9" w:rsidRPr="000D43C9" w:rsidRDefault="000D43C9" w:rsidP="000D43C9">
            <w:pPr>
              <w:jc w:val="right"/>
              <w:rPr>
                <w:rFonts w:ascii="Verdana" w:hAnsi="Verdana" w:cs="Arial"/>
                <w:sz w:val="16"/>
                <w:szCs w:val="16"/>
                <w:lang w:val="en-US" w:eastAsia="ru-RU"/>
              </w:rPr>
            </w:pPr>
            <w:r w:rsidRPr="000D43C9">
              <w:rPr>
                <w:rFonts w:ascii="Verdana" w:hAnsi="Verdana" w:cs="Arial"/>
                <w:sz w:val="16"/>
                <w:szCs w:val="16"/>
                <w:lang w:val="en-US" w:eastAsia="ru-RU"/>
              </w:rPr>
              <w:t>-</w:t>
            </w:r>
          </w:p>
        </w:tc>
        <w:tc>
          <w:tcPr>
            <w:tcW w:w="1242" w:type="dxa"/>
          </w:tcPr>
          <w:p w:rsidR="000D43C9" w:rsidRPr="000D43C9" w:rsidRDefault="000D43C9" w:rsidP="000D43C9">
            <w:pPr>
              <w:jc w:val="right"/>
              <w:rPr>
                <w:rFonts w:ascii="Verdana" w:hAnsi="Verdana" w:cs="Arial"/>
                <w:sz w:val="16"/>
                <w:szCs w:val="16"/>
                <w:lang w:val="en-US" w:eastAsia="ru-RU"/>
              </w:rPr>
            </w:pPr>
            <w:r w:rsidRPr="000D43C9">
              <w:rPr>
                <w:rFonts w:ascii="Verdana" w:hAnsi="Verdana" w:cs="Arial"/>
                <w:sz w:val="16"/>
                <w:szCs w:val="16"/>
                <w:lang w:val="en-US" w:eastAsia="ru-RU"/>
              </w:rPr>
              <w:t>-</w:t>
            </w:r>
          </w:p>
        </w:tc>
      </w:tr>
      <w:tr w:rsidR="000D43C9" w:rsidRPr="000D43C9" w:rsidTr="000D43C9">
        <w:trPr>
          <w:trHeight w:val="283"/>
        </w:trPr>
        <w:tc>
          <w:tcPr>
            <w:tcW w:w="5386" w:type="dxa"/>
          </w:tcPr>
          <w:p w:rsidR="000D43C9" w:rsidRPr="000D43C9" w:rsidRDefault="000D43C9" w:rsidP="000D43C9">
            <w:pPr>
              <w:rPr>
                <w:rFonts w:ascii="Verdana" w:hAnsi="Verdana"/>
                <w:i/>
                <w:sz w:val="16"/>
                <w:szCs w:val="16"/>
                <w:lang w:val="ru-RU" w:eastAsia="ru-RU"/>
              </w:rPr>
            </w:pPr>
            <w:r w:rsidRPr="000D43C9">
              <w:rPr>
                <w:rFonts w:ascii="Verdana" w:hAnsi="Verdana"/>
                <w:i/>
                <w:sz w:val="16"/>
                <w:szCs w:val="16"/>
                <w:lang w:val="ru-RU" w:eastAsia="ru-RU"/>
              </w:rPr>
              <w:t xml:space="preserve">Активы </w:t>
            </w:r>
            <w:r w:rsidRPr="000D43C9">
              <w:rPr>
                <w:rFonts w:ascii="Verdana" w:hAnsi="Verdana"/>
                <w:i/>
                <w:sz w:val="16"/>
                <w:szCs w:val="16"/>
                <w:lang w:val="en-US" w:eastAsia="ru-RU"/>
              </w:rPr>
              <w:t>IV</w:t>
            </w:r>
            <w:r w:rsidRPr="000D43C9">
              <w:rPr>
                <w:rFonts w:ascii="Verdana" w:hAnsi="Verdana"/>
                <w:i/>
                <w:sz w:val="16"/>
                <w:szCs w:val="16"/>
                <w:lang w:val="ru-RU" w:eastAsia="ru-RU"/>
              </w:rPr>
              <w:t>-ой группы риска (с коэффициентом риска 100%)</w:t>
            </w:r>
          </w:p>
        </w:tc>
        <w:tc>
          <w:tcPr>
            <w:tcW w:w="1242" w:type="dxa"/>
          </w:tcPr>
          <w:p w:rsidR="000D43C9" w:rsidRPr="000D43C9" w:rsidRDefault="000D43C9" w:rsidP="000D43C9">
            <w:pPr>
              <w:jc w:val="right"/>
              <w:rPr>
                <w:rFonts w:ascii="Verdana" w:hAnsi="Verdana" w:cs="Arial"/>
                <w:i/>
                <w:sz w:val="16"/>
                <w:szCs w:val="16"/>
                <w:lang w:eastAsia="ru-RU"/>
              </w:rPr>
            </w:pPr>
            <w:r w:rsidRPr="000D43C9">
              <w:rPr>
                <w:rFonts w:ascii="Verdana" w:hAnsi="Verdana" w:cs="Arial"/>
                <w:i/>
                <w:sz w:val="16"/>
                <w:szCs w:val="16"/>
                <w:lang w:eastAsia="ru-RU"/>
              </w:rPr>
              <w:t>11</w:t>
            </w:r>
            <w:r w:rsidRPr="000D43C9">
              <w:rPr>
                <w:rFonts w:ascii="Verdana" w:hAnsi="Verdana" w:cs="Arial"/>
                <w:i/>
                <w:sz w:val="16"/>
                <w:szCs w:val="16"/>
                <w:lang w:val="en-US" w:eastAsia="ru-RU"/>
              </w:rPr>
              <w:t xml:space="preserve">7 </w:t>
            </w:r>
            <w:r w:rsidRPr="000D43C9">
              <w:rPr>
                <w:rFonts w:ascii="Verdana" w:hAnsi="Verdana" w:cs="Arial"/>
                <w:i/>
                <w:sz w:val="16"/>
                <w:szCs w:val="16"/>
                <w:lang w:eastAsia="ru-RU"/>
              </w:rPr>
              <w:t>028</w:t>
            </w:r>
          </w:p>
        </w:tc>
        <w:tc>
          <w:tcPr>
            <w:tcW w:w="1242" w:type="dxa"/>
          </w:tcPr>
          <w:p w:rsidR="000D43C9" w:rsidRPr="000D43C9" w:rsidRDefault="000D43C9" w:rsidP="000D43C9">
            <w:pPr>
              <w:jc w:val="right"/>
              <w:rPr>
                <w:rFonts w:ascii="Verdana" w:hAnsi="Verdana" w:cs="Arial"/>
                <w:i/>
                <w:sz w:val="16"/>
                <w:szCs w:val="16"/>
                <w:lang w:eastAsia="ru-RU"/>
              </w:rPr>
            </w:pPr>
            <w:r w:rsidRPr="000D43C9">
              <w:rPr>
                <w:rFonts w:ascii="Verdana" w:hAnsi="Verdana" w:cs="Arial"/>
                <w:i/>
                <w:sz w:val="16"/>
                <w:szCs w:val="16"/>
                <w:lang w:eastAsia="ru-RU"/>
              </w:rPr>
              <w:t>71 652</w:t>
            </w:r>
          </w:p>
        </w:tc>
      </w:tr>
      <w:tr w:rsidR="000D43C9" w:rsidRPr="000D43C9" w:rsidTr="000D43C9">
        <w:trPr>
          <w:trHeight w:val="283"/>
        </w:trPr>
        <w:tc>
          <w:tcPr>
            <w:tcW w:w="5386" w:type="dxa"/>
          </w:tcPr>
          <w:p w:rsidR="000D43C9" w:rsidRPr="000D43C9" w:rsidRDefault="000D43C9" w:rsidP="000D43C9">
            <w:pPr>
              <w:rPr>
                <w:rFonts w:ascii="Verdana" w:hAnsi="Verdana"/>
                <w:sz w:val="16"/>
                <w:szCs w:val="16"/>
                <w:lang w:val="ru-RU" w:eastAsia="ru-RU"/>
              </w:rPr>
            </w:pPr>
            <w:r w:rsidRPr="000D43C9">
              <w:rPr>
                <w:rFonts w:ascii="Verdana" w:hAnsi="Verdana"/>
                <w:sz w:val="16"/>
                <w:szCs w:val="16"/>
                <w:lang w:val="ru-RU" w:eastAsia="ru-RU"/>
              </w:rPr>
              <w:t xml:space="preserve">Резервы под активы </w:t>
            </w:r>
            <w:r w:rsidRPr="000D43C9">
              <w:rPr>
                <w:rFonts w:ascii="Verdana" w:hAnsi="Verdana"/>
                <w:sz w:val="16"/>
                <w:szCs w:val="16"/>
                <w:lang w:val="en-US" w:eastAsia="ru-RU"/>
              </w:rPr>
              <w:t>IV</w:t>
            </w:r>
            <w:r w:rsidRPr="000D43C9">
              <w:rPr>
                <w:rFonts w:ascii="Verdana" w:hAnsi="Verdana"/>
                <w:sz w:val="16"/>
                <w:szCs w:val="16"/>
                <w:lang w:val="ru-RU" w:eastAsia="ru-RU"/>
              </w:rPr>
              <w:t>-ой группы риска</w:t>
            </w:r>
          </w:p>
        </w:tc>
        <w:tc>
          <w:tcPr>
            <w:tcW w:w="1242" w:type="dxa"/>
          </w:tcPr>
          <w:p w:rsidR="000D43C9" w:rsidRPr="000D43C9" w:rsidRDefault="000D43C9" w:rsidP="000D43C9">
            <w:pPr>
              <w:jc w:val="right"/>
              <w:rPr>
                <w:rFonts w:ascii="Verdana" w:hAnsi="Verdana" w:cs="Arial"/>
                <w:sz w:val="16"/>
                <w:szCs w:val="16"/>
                <w:lang w:eastAsia="ru-RU"/>
              </w:rPr>
            </w:pPr>
            <w:r w:rsidRPr="000D43C9">
              <w:rPr>
                <w:rFonts w:ascii="Verdana" w:hAnsi="Verdana" w:cs="Arial"/>
                <w:sz w:val="16"/>
                <w:szCs w:val="16"/>
                <w:lang w:eastAsia="ru-RU"/>
              </w:rPr>
              <w:t>1 144</w:t>
            </w:r>
          </w:p>
        </w:tc>
        <w:tc>
          <w:tcPr>
            <w:tcW w:w="1242" w:type="dxa"/>
          </w:tcPr>
          <w:p w:rsidR="000D43C9" w:rsidRPr="000D43C9" w:rsidRDefault="000D43C9" w:rsidP="000D43C9">
            <w:pPr>
              <w:jc w:val="right"/>
              <w:rPr>
                <w:rFonts w:ascii="Verdana" w:hAnsi="Verdana" w:cs="Arial"/>
                <w:sz w:val="16"/>
                <w:szCs w:val="16"/>
                <w:lang w:eastAsia="ru-RU"/>
              </w:rPr>
            </w:pPr>
            <w:r w:rsidRPr="000D43C9">
              <w:rPr>
                <w:rFonts w:ascii="Verdana" w:hAnsi="Verdana" w:cs="Arial"/>
                <w:sz w:val="16"/>
                <w:szCs w:val="16"/>
                <w:lang w:eastAsia="ru-RU"/>
              </w:rPr>
              <w:t>49</w:t>
            </w:r>
          </w:p>
        </w:tc>
      </w:tr>
      <w:tr w:rsidR="000D43C9" w:rsidRPr="000D43C9" w:rsidTr="000D43C9">
        <w:trPr>
          <w:trHeight w:val="283"/>
        </w:trPr>
        <w:tc>
          <w:tcPr>
            <w:tcW w:w="5386" w:type="dxa"/>
          </w:tcPr>
          <w:p w:rsidR="000D43C9" w:rsidRPr="000D43C9" w:rsidRDefault="000D43C9" w:rsidP="000D43C9">
            <w:pPr>
              <w:rPr>
                <w:rFonts w:ascii="Verdana" w:hAnsi="Verdana"/>
                <w:sz w:val="16"/>
                <w:szCs w:val="16"/>
                <w:lang w:val="ru-RU" w:eastAsia="ru-RU"/>
              </w:rPr>
            </w:pPr>
            <w:r w:rsidRPr="000D43C9">
              <w:rPr>
                <w:rFonts w:ascii="Verdana" w:hAnsi="Verdana"/>
                <w:sz w:val="16"/>
                <w:szCs w:val="16"/>
                <w:lang w:val="ru-RU" w:eastAsia="ru-RU"/>
              </w:rPr>
              <w:t xml:space="preserve">Кредитный риск по активам </w:t>
            </w:r>
            <w:r w:rsidRPr="000D43C9">
              <w:rPr>
                <w:rFonts w:ascii="Verdana" w:hAnsi="Verdana"/>
                <w:sz w:val="16"/>
                <w:szCs w:val="16"/>
                <w:lang w:val="en-US" w:eastAsia="ru-RU"/>
              </w:rPr>
              <w:t>IV</w:t>
            </w:r>
            <w:r w:rsidRPr="000D43C9">
              <w:rPr>
                <w:rFonts w:ascii="Verdana" w:hAnsi="Verdana"/>
                <w:sz w:val="16"/>
                <w:szCs w:val="16"/>
                <w:lang w:val="ru-RU" w:eastAsia="ru-RU"/>
              </w:rPr>
              <w:t>-ой группы риска</w:t>
            </w:r>
          </w:p>
        </w:tc>
        <w:tc>
          <w:tcPr>
            <w:tcW w:w="1242" w:type="dxa"/>
          </w:tcPr>
          <w:p w:rsidR="000D43C9" w:rsidRPr="000D43C9" w:rsidRDefault="000D43C9" w:rsidP="000D43C9">
            <w:pPr>
              <w:jc w:val="right"/>
              <w:rPr>
                <w:rFonts w:ascii="Verdana" w:hAnsi="Verdana" w:cs="Arial"/>
                <w:sz w:val="16"/>
                <w:szCs w:val="16"/>
                <w:lang w:eastAsia="ru-RU"/>
              </w:rPr>
            </w:pPr>
            <w:r w:rsidRPr="000D43C9">
              <w:rPr>
                <w:rFonts w:ascii="Verdana" w:hAnsi="Verdana" w:cs="Arial"/>
                <w:sz w:val="16"/>
                <w:szCs w:val="16"/>
                <w:lang w:val="en-US" w:eastAsia="ru-RU"/>
              </w:rPr>
              <w:t>1</w:t>
            </w:r>
            <w:r w:rsidRPr="000D43C9">
              <w:rPr>
                <w:rFonts w:ascii="Verdana" w:hAnsi="Verdana" w:cs="Arial"/>
                <w:sz w:val="16"/>
                <w:szCs w:val="16"/>
                <w:lang w:eastAsia="ru-RU"/>
              </w:rPr>
              <w:t>15</w:t>
            </w:r>
            <w:r w:rsidRPr="000D43C9">
              <w:rPr>
                <w:rFonts w:ascii="Verdana" w:hAnsi="Verdana" w:cs="Arial"/>
                <w:sz w:val="16"/>
                <w:szCs w:val="16"/>
                <w:lang w:val="en-US" w:eastAsia="ru-RU"/>
              </w:rPr>
              <w:t xml:space="preserve"> </w:t>
            </w:r>
            <w:r w:rsidRPr="000D43C9">
              <w:rPr>
                <w:rFonts w:ascii="Verdana" w:hAnsi="Verdana" w:cs="Arial"/>
                <w:sz w:val="16"/>
                <w:szCs w:val="16"/>
                <w:lang w:eastAsia="ru-RU"/>
              </w:rPr>
              <w:t>884</w:t>
            </w:r>
          </w:p>
        </w:tc>
        <w:tc>
          <w:tcPr>
            <w:tcW w:w="1242" w:type="dxa"/>
          </w:tcPr>
          <w:p w:rsidR="000D43C9" w:rsidRPr="000D43C9" w:rsidRDefault="000D43C9" w:rsidP="000D43C9">
            <w:pPr>
              <w:jc w:val="right"/>
              <w:rPr>
                <w:rFonts w:ascii="Verdana" w:hAnsi="Verdana" w:cs="Arial"/>
                <w:sz w:val="16"/>
                <w:szCs w:val="16"/>
                <w:lang w:eastAsia="ru-RU"/>
              </w:rPr>
            </w:pPr>
            <w:r w:rsidRPr="000D43C9">
              <w:rPr>
                <w:rFonts w:ascii="Verdana" w:hAnsi="Verdana" w:cs="Arial"/>
                <w:sz w:val="16"/>
                <w:szCs w:val="16"/>
                <w:lang w:eastAsia="ru-RU"/>
              </w:rPr>
              <w:t>71</w:t>
            </w:r>
            <w:r w:rsidRPr="000D43C9">
              <w:rPr>
                <w:rFonts w:ascii="Verdana" w:hAnsi="Verdana" w:cs="Arial"/>
                <w:sz w:val="16"/>
                <w:szCs w:val="16"/>
                <w:lang w:val="en-US" w:eastAsia="ru-RU"/>
              </w:rPr>
              <w:t xml:space="preserve"> </w:t>
            </w:r>
            <w:r w:rsidRPr="000D43C9">
              <w:rPr>
                <w:rFonts w:ascii="Verdana" w:hAnsi="Verdana" w:cs="Arial"/>
                <w:sz w:val="16"/>
                <w:szCs w:val="16"/>
                <w:lang w:eastAsia="ru-RU"/>
              </w:rPr>
              <w:t>603</w:t>
            </w:r>
          </w:p>
        </w:tc>
      </w:tr>
    </w:tbl>
    <w:p w:rsidR="000D43C9" w:rsidRPr="000D43C9" w:rsidRDefault="000D43C9" w:rsidP="000D43C9">
      <w:pPr>
        <w:keepNext/>
        <w:spacing w:before="240" w:after="240" w:line="240" w:lineRule="auto"/>
        <w:ind w:left="142"/>
        <w:outlineLvl w:val="1"/>
        <w:rPr>
          <w:rFonts w:ascii="Verdana" w:eastAsia="Times New Roman" w:hAnsi="Verdana" w:cs="Arial"/>
          <w:b/>
          <w:sz w:val="20"/>
          <w:szCs w:val="20"/>
          <w:lang w:eastAsia="ru-RU"/>
        </w:rPr>
      </w:pPr>
      <w:bookmarkStart w:id="27" w:name="_Toc506222876"/>
      <w:r w:rsidRPr="000D43C9">
        <w:rPr>
          <w:rFonts w:ascii="Verdana" w:eastAsia="Times New Roman" w:hAnsi="Verdana" w:cs="Arial"/>
          <w:b/>
          <w:sz w:val="20"/>
          <w:szCs w:val="20"/>
          <w:lang w:eastAsia="ru-RU"/>
        </w:rPr>
        <w:t>Рыночный риск</w:t>
      </w:r>
      <w:bookmarkEnd w:id="27"/>
    </w:p>
    <w:p w:rsidR="000D43C9" w:rsidRPr="000D43C9" w:rsidRDefault="000D43C9" w:rsidP="000D43C9">
      <w:pPr>
        <w:keepNext/>
        <w:keepLines/>
        <w:spacing w:before="240" w:after="240" w:line="240" w:lineRule="auto"/>
        <w:rPr>
          <w:rFonts w:ascii="Verdana" w:eastAsia="Times New Roman" w:hAnsi="Verdana" w:cs="Arial"/>
          <w:sz w:val="20"/>
          <w:szCs w:val="20"/>
          <w:lang w:eastAsia="ru-RU"/>
        </w:rPr>
      </w:pPr>
      <w:r w:rsidRPr="000D43C9">
        <w:rPr>
          <w:rFonts w:ascii="Verdana" w:eastAsia="Times New Roman" w:hAnsi="Verdana" w:cs="Arial"/>
          <w:bCs/>
          <w:sz w:val="20"/>
          <w:szCs w:val="20"/>
          <w:lang w:eastAsia="ru-RU"/>
        </w:rPr>
        <w:t>Рыночный риск</w:t>
      </w:r>
      <w:r w:rsidRPr="000D43C9">
        <w:rPr>
          <w:rFonts w:ascii="Verdana" w:eastAsia="Times New Roman" w:hAnsi="Verdana" w:cs="Arial"/>
          <w:sz w:val="20"/>
          <w:szCs w:val="20"/>
          <w:lang w:eastAsia="ru-RU"/>
        </w:rPr>
        <w:t xml:space="preserve"> – риск возникновения у НКО финансовых потерь/убытков вследствие изменения рыночной стоимости финансовых инструментов торгового портфеля, а также курсов иностранных валют и/или драгоценных металлов. Отличительным признаком рыночного риска от иных банковских рисков является его зависимость от конъюнктуры рынков. Рыночный риск включает в себя фондовый риск, валютный и процентный риски.</w:t>
      </w:r>
    </w:p>
    <w:p w:rsidR="000D43C9" w:rsidRPr="000D43C9" w:rsidRDefault="000D43C9" w:rsidP="000D43C9">
      <w:pPr>
        <w:keepNext/>
        <w:keepLines/>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Подверженность рыночному риску связана с открытыми позициями по валютным, инструментам, которые чувствительны к риску неблагоприятного изменения рыночных цен. Система управления рыночным риском включает установление лимитов в отношении уровня принимаемого риска и ежедневный контроль за их соблюдением.</w:t>
      </w:r>
    </w:p>
    <w:p w:rsidR="000D43C9" w:rsidRPr="000D43C9" w:rsidRDefault="000D43C9" w:rsidP="000D43C9">
      <w:pPr>
        <w:keepNext/>
        <w:keepLines/>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На ежедневной основе НКО рассчитывает, контролирует и управляет рыночным риском в соответствии с Положением Банка России № 511-П от 28 сентября 2012 года «О порядке расчета кредитными организациями величины рыночного риска».</w:t>
      </w:r>
    </w:p>
    <w:p w:rsidR="000D43C9" w:rsidRPr="000D43C9" w:rsidRDefault="000D43C9" w:rsidP="000D43C9">
      <w:pPr>
        <w:widowControl w:val="0"/>
        <w:spacing w:before="240" w:after="240" w:line="240" w:lineRule="auto"/>
        <w:rPr>
          <w:rFonts w:ascii="Verdana" w:eastAsia="Times New Roman" w:hAnsi="Verdana" w:cs="Arial"/>
          <w:b/>
          <w:sz w:val="20"/>
          <w:szCs w:val="20"/>
          <w:lang w:eastAsia="ru-RU"/>
        </w:rPr>
      </w:pPr>
      <w:r w:rsidRPr="000D43C9">
        <w:rPr>
          <w:rFonts w:ascii="Verdana" w:eastAsia="Times New Roman" w:hAnsi="Verdana" w:cs="Arial"/>
          <w:b/>
          <w:sz w:val="20"/>
          <w:szCs w:val="20"/>
          <w:lang w:eastAsia="ru-RU"/>
        </w:rPr>
        <w:t>Валютный риск.</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Основным методом оценки и контроля за валютным риском является расчет открытых валютных позиций. Для оценки риска, связанного с поддержанием открытых позиций в иностранных валютах, НКО использует Инструкцию Банка России от 28.12.2016 № 178-И «Об установлении размеров (лимитов) открытых валютных позиций, методике их расчета и особенностях осуществления надзора за их соблюдением кредитными организациями» (с изменениями и дополнениями).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НКО придерживается консервативной валютной политики, стремясь ограничить уровень принимаемого валютного риска путем поддержания минимального возможного уровня открытых позиций, что достигается установкой лимитов денежной наличности по каждому внутреннему структурному подразделению.</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Управление валютным риском НКО осуществляется централизованно, это позволяет контролировать допустимый уровень валютного риска и обеспечивать максимально возможное соответствие между валютой его активов и валютой его обязательств по видам валют в установленных пределах.</w:t>
      </w:r>
    </w:p>
    <w:p w:rsidR="000D43C9" w:rsidRPr="000D43C9" w:rsidRDefault="000D43C9" w:rsidP="000D43C9">
      <w:pPr>
        <w:widowControl w:val="0"/>
        <w:spacing w:before="240" w:after="240" w:line="240" w:lineRule="auto"/>
        <w:rPr>
          <w:rFonts w:ascii="Verdana" w:eastAsia="Calibri" w:hAnsi="Verdana" w:cs="Arial"/>
          <w:sz w:val="20"/>
          <w:szCs w:val="20"/>
        </w:rPr>
      </w:pPr>
      <w:r w:rsidRPr="000D43C9">
        <w:rPr>
          <w:rFonts w:ascii="Verdana" w:eastAsia="Times New Roman" w:hAnsi="Verdana" w:cs="Arial"/>
          <w:sz w:val="20"/>
          <w:szCs w:val="20"/>
          <w:lang w:eastAsia="ru-RU"/>
        </w:rPr>
        <w:t xml:space="preserve">Оценка влияния валютного риска на капитал осуществляется на основе методики, изложенной в Положении Банка России 03.12.2015 № 511-П </w:t>
      </w:r>
      <w:r w:rsidRPr="000D43C9">
        <w:rPr>
          <w:rFonts w:ascii="Verdana" w:eastAsia="Calibri" w:hAnsi="Verdana" w:cs="Arial"/>
          <w:sz w:val="20"/>
          <w:szCs w:val="20"/>
        </w:rPr>
        <w:t>«</w:t>
      </w:r>
      <w:r w:rsidRPr="000D43C9">
        <w:rPr>
          <w:rFonts w:ascii="Verdana" w:eastAsia="Times New Roman" w:hAnsi="Verdana" w:cs="Arial"/>
          <w:sz w:val="20"/>
          <w:szCs w:val="20"/>
          <w:lang w:eastAsia="ru-RU"/>
        </w:rPr>
        <w:t>Положение о порядке расчета кредитными организ</w:t>
      </w:r>
      <w:r w:rsidRPr="000D43C9">
        <w:rPr>
          <w:rFonts w:ascii="Verdana" w:eastAsia="Calibri" w:hAnsi="Verdana" w:cs="Arial"/>
          <w:sz w:val="20"/>
          <w:szCs w:val="20"/>
        </w:rPr>
        <w:t>ациями величины рыночного риска».</w:t>
      </w:r>
    </w:p>
    <w:p w:rsidR="000D43C9" w:rsidRPr="000D43C9" w:rsidRDefault="000D43C9" w:rsidP="000D43C9">
      <w:pPr>
        <w:keepNext/>
        <w:keepLines/>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В таблице ниже представлена информация о видах и степени концентрации рисков в разрезе валют по состоянию на 01.04.2018:</w:t>
      </w:r>
    </w:p>
    <w:tbl>
      <w:tblPr>
        <w:tblStyle w:val="13"/>
        <w:tblW w:w="7917" w:type="dxa"/>
        <w:tblLook w:val="04A0" w:firstRow="1" w:lastRow="0" w:firstColumn="1" w:lastColumn="0" w:noHBand="0" w:noVBand="1"/>
      </w:tblPr>
      <w:tblGrid>
        <w:gridCol w:w="2541"/>
        <w:gridCol w:w="1242"/>
        <w:gridCol w:w="957"/>
        <w:gridCol w:w="1057"/>
        <w:gridCol w:w="944"/>
        <w:gridCol w:w="1176"/>
      </w:tblGrid>
      <w:tr w:rsidR="000D43C9" w:rsidRPr="000D43C9" w:rsidTr="000D43C9">
        <w:trPr>
          <w:trHeight w:val="20"/>
        </w:trPr>
        <w:tc>
          <w:tcPr>
            <w:tcW w:w="2541" w:type="dxa"/>
            <w:vAlign w:val="center"/>
            <w:hideMark/>
          </w:tcPr>
          <w:p w:rsidR="000D43C9" w:rsidRPr="000D43C9" w:rsidRDefault="000D43C9" w:rsidP="000D43C9">
            <w:pPr>
              <w:jc w:val="center"/>
              <w:rPr>
                <w:rFonts w:ascii="Verdana" w:eastAsia="Times New Roman" w:hAnsi="Verdana" w:cs="Arial"/>
                <w:i/>
                <w:iCs/>
                <w:sz w:val="16"/>
                <w:szCs w:val="16"/>
                <w:lang w:eastAsia="ru-RU"/>
              </w:rPr>
            </w:pPr>
            <w:proofErr w:type="spellStart"/>
            <w:r w:rsidRPr="000D43C9">
              <w:rPr>
                <w:rFonts w:ascii="Verdana" w:eastAsia="Times New Roman" w:hAnsi="Verdana" w:cs="Arial"/>
                <w:i/>
                <w:iCs/>
                <w:sz w:val="16"/>
                <w:szCs w:val="16"/>
                <w:lang w:eastAsia="ru-RU"/>
              </w:rPr>
              <w:t>Наименование</w:t>
            </w:r>
            <w:proofErr w:type="spellEnd"/>
            <w:r w:rsidRPr="000D43C9">
              <w:rPr>
                <w:rFonts w:ascii="Verdana" w:eastAsia="Times New Roman" w:hAnsi="Verdana" w:cs="Arial"/>
                <w:i/>
                <w:iCs/>
                <w:sz w:val="16"/>
                <w:szCs w:val="16"/>
                <w:lang w:eastAsia="ru-RU"/>
              </w:rPr>
              <w:t xml:space="preserve"> </w:t>
            </w:r>
            <w:proofErr w:type="spellStart"/>
            <w:r w:rsidRPr="000D43C9">
              <w:rPr>
                <w:rFonts w:ascii="Verdana" w:eastAsia="Times New Roman" w:hAnsi="Verdana" w:cs="Arial"/>
                <w:i/>
                <w:iCs/>
                <w:sz w:val="16"/>
                <w:szCs w:val="16"/>
                <w:lang w:eastAsia="ru-RU"/>
              </w:rPr>
              <w:t>статьи</w:t>
            </w:r>
            <w:proofErr w:type="spellEnd"/>
          </w:p>
        </w:tc>
        <w:tc>
          <w:tcPr>
            <w:tcW w:w="1242" w:type="dxa"/>
            <w:vAlign w:val="center"/>
            <w:hideMark/>
          </w:tcPr>
          <w:p w:rsidR="000D43C9" w:rsidRPr="000D43C9" w:rsidRDefault="000D43C9" w:rsidP="002F2521">
            <w:pPr>
              <w:jc w:val="cente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Всего</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на</w:t>
            </w:r>
            <w:proofErr w:type="spellEnd"/>
            <w:r w:rsidRPr="000D43C9">
              <w:rPr>
                <w:rFonts w:ascii="Verdana" w:eastAsia="Times New Roman" w:hAnsi="Verdana" w:cs="Arial"/>
                <w:b/>
                <w:bCs/>
                <w:sz w:val="16"/>
                <w:szCs w:val="16"/>
                <w:lang w:eastAsia="ru-RU"/>
              </w:rPr>
              <w:t xml:space="preserve"> 01.0</w:t>
            </w:r>
            <w:r w:rsidR="002F2521">
              <w:rPr>
                <w:rFonts w:ascii="Verdana" w:eastAsia="Times New Roman" w:hAnsi="Verdana" w:cs="Arial"/>
                <w:b/>
                <w:bCs/>
                <w:sz w:val="16"/>
                <w:szCs w:val="16"/>
                <w:lang w:val="ru-RU" w:eastAsia="ru-RU"/>
              </w:rPr>
              <w:t>4</w:t>
            </w:r>
            <w:r w:rsidRPr="000D43C9">
              <w:rPr>
                <w:rFonts w:ascii="Verdana" w:eastAsia="Times New Roman" w:hAnsi="Verdana" w:cs="Arial"/>
                <w:b/>
                <w:bCs/>
                <w:sz w:val="16"/>
                <w:szCs w:val="16"/>
                <w:lang w:eastAsia="ru-RU"/>
              </w:rPr>
              <w:t>.2018</w:t>
            </w:r>
          </w:p>
        </w:tc>
        <w:tc>
          <w:tcPr>
            <w:tcW w:w="957" w:type="dxa"/>
            <w:vAlign w:val="center"/>
            <w:hideMark/>
          </w:tcPr>
          <w:p w:rsidR="000D43C9" w:rsidRPr="000D43C9" w:rsidRDefault="000D43C9" w:rsidP="000D43C9">
            <w:pPr>
              <w:jc w:val="cente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Рубли</w:t>
            </w:r>
            <w:proofErr w:type="spellEnd"/>
          </w:p>
        </w:tc>
        <w:tc>
          <w:tcPr>
            <w:tcW w:w="1057" w:type="dxa"/>
            <w:vAlign w:val="center"/>
            <w:hideMark/>
          </w:tcPr>
          <w:p w:rsidR="000D43C9" w:rsidRPr="000D43C9" w:rsidRDefault="000D43C9" w:rsidP="000D43C9">
            <w:pPr>
              <w:jc w:val="cente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Доллары</w:t>
            </w:r>
            <w:proofErr w:type="spellEnd"/>
            <w:r w:rsidRPr="000D43C9">
              <w:rPr>
                <w:rFonts w:ascii="Verdana" w:eastAsia="Times New Roman" w:hAnsi="Verdana" w:cs="Arial"/>
                <w:b/>
                <w:bCs/>
                <w:sz w:val="16"/>
                <w:szCs w:val="16"/>
                <w:lang w:eastAsia="ru-RU"/>
              </w:rPr>
              <w:t xml:space="preserve"> США</w:t>
            </w:r>
          </w:p>
        </w:tc>
        <w:tc>
          <w:tcPr>
            <w:tcW w:w="944" w:type="dxa"/>
            <w:vAlign w:val="center"/>
            <w:hideMark/>
          </w:tcPr>
          <w:p w:rsidR="000D43C9" w:rsidRPr="000D43C9" w:rsidRDefault="000D43C9" w:rsidP="000D43C9">
            <w:pPr>
              <w:jc w:val="center"/>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ЕВРО</w:t>
            </w:r>
          </w:p>
        </w:tc>
        <w:tc>
          <w:tcPr>
            <w:tcW w:w="1176" w:type="dxa"/>
            <w:vAlign w:val="center"/>
            <w:hideMark/>
          </w:tcPr>
          <w:p w:rsidR="000D43C9" w:rsidRPr="000D43C9" w:rsidRDefault="000D43C9" w:rsidP="000D43C9">
            <w:pPr>
              <w:jc w:val="cente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Прочие</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валюты</w:t>
            </w:r>
            <w:proofErr w:type="spellEnd"/>
          </w:p>
        </w:tc>
      </w:tr>
      <w:tr w:rsidR="000D43C9" w:rsidRPr="000D43C9" w:rsidTr="000D43C9">
        <w:trPr>
          <w:trHeight w:val="20"/>
        </w:trPr>
        <w:tc>
          <w:tcPr>
            <w:tcW w:w="2541" w:type="dxa"/>
            <w:vAlign w:val="center"/>
            <w:hideMark/>
          </w:tcPr>
          <w:p w:rsidR="000D43C9" w:rsidRPr="000D43C9" w:rsidRDefault="000D43C9" w:rsidP="000D43C9">
            <w:pPr>
              <w:jc w:val="center"/>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АКТИВЫ</w:t>
            </w:r>
          </w:p>
        </w:tc>
        <w:tc>
          <w:tcPr>
            <w:tcW w:w="1242" w:type="dxa"/>
            <w:vAlign w:val="center"/>
            <w:hideMark/>
          </w:tcPr>
          <w:p w:rsidR="000D43C9" w:rsidRPr="000D43C9" w:rsidRDefault="000D43C9" w:rsidP="000D43C9">
            <w:pPr>
              <w:jc w:val="right"/>
              <w:rPr>
                <w:rFonts w:ascii="Verdana" w:eastAsia="Times New Roman" w:hAnsi="Verdana" w:cs="Arial"/>
                <w:b/>
                <w:sz w:val="16"/>
                <w:szCs w:val="16"/>
                <w:lang w:eastAsia="ru-RU"/>
              </w:rPr>
            </w:pPr>
          </w:p>
        </w:tc>
        <w:tc>
          <w:tcPr>
            <w:tcW w:w="957" w:type="dxa"/>
            <w:vAlign w:val="center"/>
            <w:hideMark/>
          </w:tcPr>
          <w:p w:rsidR="000D43C9" w:rsidRPr="000D43C9" w:rsidRDefault="000D43C9" w:rsidP="000D43C9">
            <w:pPr>
              <w:jc w:val="right"/>
              <w:rPr>
                <w:rFonts w:ascii="Verdana" w:eastAsia="Times New Roman" w:hAnsi="Verdana" w:cs="Arial"/>
                <w:b/>
                <w:sz w:val="16"/>
                <w:szCs w:val="16"/>
                <w:lang w:eastAsia="ru-RU"/>
              </w:rPr>
            </w:pPr>
          </w:p>
        </w:tc>
        <w:tc>
          <w:tcPr>
            <w:tcW w:w="1057" w:type="dxa"/>
            <w:vAlign w:val="center"/>
            <w:hideMark/>
          </w:tcPr>
          <w:p w:rsidR="000D43C9" w:rsidRPr="000D43C9" w:rsidRDefault="000D43C9" w:rsidP="000D43C9">
            <w:pPr>
              <w:jc w:val="right"/>
              <w:rPr>
                <w:rFonts w:ascii="Verdana" w:eastAsia="Times New Roman" w:hAnsi="Verdana" w:cs="Arial"/>
                <w:b/>
                <w:sz w:val="16"/>
                <w:szCs w:val="16"/>
                <w:lang w:eastAsia="ru-RU"/>
              </w:rPr>
            </w:pPr>
          </w:p>
        </w:tc>
        <w:tc>
          <w:tcPr>
            <w:tcW w:w="944" w:type="dxa"/>
            <w:vAlign w:val="center"/>
            <w:hideMark/>
          </w:tcPr>
          <w:p w:rsidR="000D43C9" w:rsidRPr="000D43C9" w:rsidRDefault="000D43C9" w:rsidP="000D43C9">
            <w:pPr>
              <w:jc w:val="right"/>
              <w:rPr>
                <w:rFonts w:ascii="Verdana" w:eastAsia="Times New Roman" w:hAnsi="Verdana" w:cs="Arial"/>
                <w:b/>
                <w:sz w:val="16"/>
                <w:szCs w:val="16"/>
                <w:lang w:eastAsia="ru-RU"/>
              </w:rPr>
            </w:pPr>
          </w:p>
        </w:tc>
        <w:tc>
          <w:tcPr>
            <w:tcW w:w="1176" w:type="dxa"/>
            <w:vAlign w:val="center"/>
            <w:hideMark/>
          </w:tcPr>
          <w:p w:rsidR="000D43C9" w:rsidRPr="000D43C9" w:rsidRDefault="000D43C9" w:rsidP="000D43C9">
            <w:pPr>
              <w:jc w:val="right"/>
              <w:rPr>
                <w:rFonts w:ascii="Verdana" w:eastAsia="Times New Roman" w:hAnsi="Verdana" w:cs="Arial"/>
                <w:b/>
                <w:sz w:val="16"/>
                <w:szCs w:val="16"/>
                <w:lang w:eastAsia="ru-RU"/>
              </w:rPr>
            </w:pP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eastAsia="ru-RU"/>
              </w:rPr>
            </w:pPr>
            <w:proofErr w:type="spellStart"/>
            <w:r w:rsidRPr="000D43C9">
              <w:rPr>
                <w:rFonts w:ascii="Verdana" w:eastAsia="Times New Roman" w:hAnsi="Verdana" w:cs="Arial"/>
                <w:sz w:val="16"/>
                <w:szCs w:val="16"/>
                <w:lang w:eastAsia="ru-RU"/>
              </w:rPr>
              <w:t>Денежные</w:t>
            </w:r>
            <w:proofErr w:type="spellEnd"/>
            <w:r w:rsidRPr="000D43C9">
              <w:rPr>
                <w:rFonts w:ascii="Verdana" w:eastAsia="Times New Roman" w:hAnsi="Verdana" w:cs="Arial"/>
                <w:sz w:val="16"/>
                <w:szCs w:val="16"/>
                <w:lang w:eastAsia="ru-RU"/>
              </w:rPr>
              <w:t xml:space="preserve"> </w:t>
            </w:r>
            <w:proofErr w:type="spellStart"/>
            <w:r w:rsidRPr="000D43C9">
              <w:rPr>
                <w:rFonts w:ascii="Verdana" w:eastAsia="Times New Roman" w:hAnsi="Verdana" w:cs="Arial"/>
                <w:sz w:val="16"/>
                <w:szCs w:val="16"/>
                <w:lang w:eastAsia="ru-RU"/>
              </w:rPr>
              <w:t>средства</w:t>
            </w:r>
            <w:proofErr w:type="spellEnd"/>
          </w:p>
        </w:tc>
        <w:tc>
          <w:tcPr>
            <w:tcW w:w="124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12 582</w:t>
            </w:r>
          </w:p>
        </w:tc>
        <w:tc>
          <w:tcPr>
            <w:tcW w:w="9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6 019</w:t>
            </w:r>
          </w:p>
        </w:tc>
        <w:tc>
          <w:tcPr>
            <w:tcW w:w="10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1 561</w:t>
            </w:r>
          </w:p>
        </w:tc>
        <w:tc>
          <w:tcPr>
            <w:tcW w:w="944"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2 754</w:t>
            </w:r>
          </w:p>
        </w:tc>
        <w:tc>
          <w:tcPr>
            <w:tcW w:w="1176"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2 248</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val="ru-RU" w:eastAsia="ru-RU"/>
              </w:rPr>
            </w:pPr>
            <w:r w:rsidRPr="000D43C9">
              <w:rPr>
                <w:rFonts w:ascii="Verdana" w:eastAsia="Times New Roman" w:hAnsi="Verdana" w:cs="Arial"/>
                <w:sz w:val="16"/>
                <w:szCs w:val="16"/>
                <w:lang w:val="ru-RU" w:eastAsia="ru-RU"/>
              </w:rPr>
              <w:t>Средства кредитной организации в ЦБ РФ</w:t>
            </w:r>
          </w:p>
        </w:tc>
        <w:tc>
          <w:tcPr>
            <w:tcW w:w="124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125</w:t>
            </w:r>
          </w:p>
        </w:tc>
        <w:tc>
          <w:tcPr>
            <w:tcW w:w="9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125</w:t>
            </w:r>
          </w:p>
        </w:tc>
        <w:tc>
          <w:tcPr>
            <w:tcW w:w="10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c>
          <w:tcPr>
            <w:tcW w:w="944"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c>
          <w:tcPr>
            <w:tcW w:w="1176"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eastAsia="ru-RU"/>
              </w:rPr>
            </w:pPr>
            <w:proofErr w:type="spellStart"/>
            <w:r w:rsidRPr="000D43C9">
              <w:rPr>
                <w:rFonts w:ascii="Verdana" w:eastAsia="Times New Roman" w:hAnsi="Verdana" w:cs="Arial"/>
                <w:sz w:val="16"/>
                <w:szCs w:val="16"/>
                <w:lang w:eastAsia="ru-RU"/>
              </w:rPr>
              <w:t>Средства</w:t>
            </w:r>
            <w:proofErr w:type="spellEnd"/>
            <w:r w:rsidRPr="000D43C9">
              <w:rPr>
                <w:rFonts w:ascii="Verdana" w:eastAsia="Times New Roman" w:hAnsi="Verdana" w:cs="Arial"/>
                <w:sz w:val="16"/>
                <w:szCs w:val="16"/>
                <w:lang w:eastAsia="ru-RU"/>
              </w:rPr>
              <w:t xml:space="preserve">  в </w:t>
            </w:r>
            <w:proofErr w:type="spellStart"/>
            <w:r w:rsidRPr="000D43C9">
              <w:rPr>
                <w:rFonts w:ascii="Verdana" w:eastAsia="Times New Roman" w:hAnsi="Verdana" w:cs="Arial"/>
                <w:sz w:val="16"/>
                <w:szCs w:val="16"/>
                <w:lang w:eastAsia="ru-RU"/>
              </w:rPr>
              <w:t>кредитных</w:t>
            </w:r>
            <w:proofErr w:type="spellEnd"/>
            <w:r w:rsidRPr="000D43C9">
              <w:rPr>
                <w:rFonts w:ascii="Verdana" w:eastAsia="Times New Roman" w:hAnsi="Verdana" w:cs="Arial"/>
                <w:sz w:val="16"/>
                <w:szCs w:val="16"/>
                <w:lang w:eastAsia="ru-RU"/>
              </w:rPr>
              <w:t xml:space="preserve"> </w:t>
            </w:r>
            <w:proofErr w:type="spellStart"/>
            <w:r w:rsidRPr="000D43C9">
              <w:rPr>
                <w:rFonts w:ascii="Verdana" w:eastAsia="Times New Roman" w:hAnsi="Verdana" w:cs="Arial"/>
                <w:sz w:val="16"/>
                <w:szCs w:val="16"/>
                <w:lang w:eastAsia="ru-RU"/>
              </w:rPr>
              <w:t>организациях</w:t>
            </w:r>
            <w:proofErr w:type="spellEnd"/>
          </w:p>
        </w:tc>
        <w:tc>
          <w:tcPr>
            <w:tcW w:w="124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4 322</w:t>
            </w:r>
          </w:p>
        </w:tc>
        <w:tc>
          <w:tcPr>
            <w:tcW w:w="9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3 655</w:t>
            </w:r>
          </w:p>
        </w:tc>
        <w:tc>
          <w:tcPr>
            <w:tcW w:w="10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69</w:t>
            </w:r>
          </w:p>
        </w:tc>
        <w:tc>
          <w:tcPr>
            <w:tcW w:w="944"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594</w:t>
            </w:r>
          </w:p>
        </w:tc>
        <w:tc>
          <w:tcPr>
            <w:tcW w:w="1176"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4</w:t>
            </w:r>
          </w:p>
        </w:tc>
      </w:tr>
      <w:tr w:rsidR="000D43C9" w:rsidRPr="000D43C9" w:rsidTr="000D43C9">
        <w:trPr>
          <w:trHeight w:val="20"/>
        </w:trPr>
        <w:tc>
          <w:tcPr>
            <w:tcW w:w="2541" w:type="dxa"/>
            <w:noWrap/>
            <w:vAlign w:val="center"/>
            <w:hideMark/>
          </w:tcPr>
          <w:p w:rsidR="000D43C9" w:rsidRPr="000D43C9" w:rsidRDefault="000D43C9" w:rsidP="000D43C9">
            <w:pPr>
              <w:rPr>
                <w:rFonts w:ascii="Verdana" w:eastAsia="Times New Roman" w:hAnsi="Verdana" w:cs="Arial"/>
                <w:sz w:val="16"/>
                <w:szCs w:val="16"/>
                <w:lang w:eastAsia="ru-RU"/>
              </w:rPr>
            </w:pPr>
            <w:proofErr w:type="spellStart"/>
            <w:r w:rsidRPr="000D43C9">
              <w:rPr>
                <w:rFonts w:ascii="Verdana" w:eastAsia="Times New Roman" w:hAnsi="Verdana" w:cs="Arial"/>
                <w:sz w:val="16"/>
                <w:szCs w:val="16"/>
                <w:lang w:eastAsia="ru-RU"/>
              </w:rPr>
              <w:t>Чистая</w:t>
            </w:r>
            <w:proofErr w:type="spellEnd"/>
            <w:r w:rsidRPr="000D43C9">
              <w:rPr>
                <w:rFonts w:ascii="Verdana" w:eastAsia="Times New Roman" w:hAnsi="Verdana" w:cs="Arial"/>
                <w:sz w:val="16"/>
                <w:szCs w:val="16"/>
                <w:lang w:eastAsia="ru-RU"/>
              </w:rPr>
              <w:t xml:space="preserve"> </w:t>
            </w:r>
            <w:proofErr w:type="spellStart"/>
            <w:r w:rsidRPr="000D43C9">
              <w:rPr>
                <w:rFonts w:ascii="Verdana" w:eastAsia="Times New Roman" w:hAnsi="Verdana" w:cs="Arial"/>
                <w:sz w:val="16"/>
                <w:szCs w:val="16"/>
                <w:lang w:eastAsia="ru-RU"/>
              </w:rPr>
              <w:t>ссудная</w:t>
            </w:r>
            <w:proofErr w:type="spellEnd"/>
            <w:r w:rsidRPr="000D43C9">
              <w:rPr>
                <w:rFonts w:ascii="Verdana" w:eastAsia="Times New Roman" w:hAnsi="Verdana" w:cs="Arial"/>
                <w:sz w:val="16"/>
                <w:szCs w:val="16"/>
                <w:lang w:eastAsia="ru-RU"/>
              </w:rPr>
              <w:t xml:space="preserve"> </w:t>
            </w:r>
            <w:proofErr w:type="spellStart"/>
            <w:r w:rsidRPr="000D43C9">
              <w:rPr>
                <w:rFonts w:ascii="Verdana" w:eastAsia="Times New Roman" w:hAnsi="Verdana" w:cs="Arial"/>
                <w:sz w:val="16"/>
                <w:szCs w:val="16"/>
                <w:lang w:eastAsia="ru-RU"/>
              </w:rPr>
              <w:t>задолженность</w:t>
            </w:r>
            <w:proofErr w:type="spellEnd"/>
            <w:r w:rsidRPr="000D43C9">
              <w:rPr>
                <w:rFonts w:ascii="Verdana" w:eastAsia="Times New Roman" w:hAnsi="Verdana" w:cs="Arial"/>
                <w:sz w:val="16"/>
                <w:szCs w:val="16"/>
                <w:lang w:eastAsia="ru-RU"/>
              </w:rPr>
              <w:t xml:space="preserve"> </w:t>
            </w:r>
          </w:p>
        </w:tc>
        <w:tc>
          <w:tcPr>
            <w:tcW w:w="124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90 550</w:t>
            </w:r>
          </w:p>
        </w:tc>
        <w:tc>
          <w:tcPr>
            <w:tcW w:w="9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90 550</w:t>
            </w:r>
          </w:p>
        </w:tc>
        <w:tc>
          <w:tcPr>
            <w:tcW w:w="10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c>
          <w:tcPr>
            <w:tcW w:w="944"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c>
          <w:tcPr>
            <w:tcW w:w="1176"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val="ru-RU" w:eastAsia="ru-RU"/>
              </w:rPr>
            </w:pPr>
            <w:r w:rsidRPr="000D43C9">
              <w:rPr>
                <w:rFonts w:ascii="Verdana" w:eastAsia="Times New Roman" w:hAnsi="Verdana" w:cs="Arial"/>
                <w:sz w:val="16"/>
                <w:szCs w:val="16"/>
                <w:lang w:val="ru-RU" w:eastAsia="ru-RU"/>
              </w:rPr>
              <w:t>Основные средства, нематериальные активы и материальные запасы</w:t>
            </w:r>
          </w:p>
        </w:tc>
        <w:tc>
          <w:tcPr>
            <w:tcW w:w="124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57 182</w:t>
            </w:r>
          </w:p>
        </w:tc>
        <w:tc>
          <w:tcPr>
            <w:tcW w:w="9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57 182</w:t>
            </w:r>
          </w:p>
        </w:tc>
        <w:tc>
          <w:tcPr>
            <w:tcW w:w="10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c>
          <w:tcPr>
            <w:tcW w:w="944"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c>
          <w:tcPr>
            <w:tcW w:w="1176"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eastAsia="ru-RU"/>
              </w:rPr>
            </w:pPr>
            <w:proofErr w:type="spellStart"/>
            <w:r w:rsidRPr="000D43C9">
              <w:rPr>
                <w:rFonts w:ascii="Verdana" w:eastAsia="Times New Roman" w:hAnsi="Verdana" w:cs="Arial"/>
                <w:sz w:val="16"/>
                <w:szCs w:val="16"/>
                <w:lang w:eastAsia="ru-RU"/>
              </w:rPr>
              <w:t>Прочие</w:t>
            </w:r>
            <w:proofErr w:type="spellEnd"/>
            <w:r w:rsidRPr="000D43C9">
              <w:rPr>
                <w:rFonts w:ascii="Verdana" w:eastAsia="Times New Roman" w:hAnsi="Verdana" w:cs="Arial"/>
                <w:sz w:val="16"/>
                <w:szCs w:val="16"/>
                <w:lang w:eastAsia="ru-RU"/>
              </w:rPr>
              <w:t xml:space="preserve"> </w:t>
            </w:r>
            <w:proofErr w:type="spellStart"/>
            <w:r w:rsidRPr="000D43C9">
              <w:rPr>
                <w:rFonts w:ascii="Verdana" w:eastAsia="Times New Roman" w:hAnsi="Verdana" w:cs="Arial"/>
                <w:sz w:val="16"/>
                <w:szCs w:val="16"/>
                <w:lang w:eastAsia="ru-RU"/>
              </w:rPr>
              <w:t>активы</w:t>
            </w:r>
            <w:proofErr w:type="spellEnd"/>
          </w:p>
        </w:tc>
        <w:tc>
          <w:tcPr>
            <w:tcW w:w="124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7 341</w:t>
            </w:r>
          </w:p>
        </w:tc>
        <w:tc>
          <w:tcPr>
            <w:tcW w:w="9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6 946</w:t>
            </w:r>
          </w:p>
        </w:tc>
        <w:tc>
          <w:tcPr>
            <w:tcW w:w="10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21</w:t>
            </w:r>
          </w:p>
        </w:tc>
        <w:tc>
          <w:tcPr>
            <w:tcW w:w="944"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374</w:t>
            </w:r>
          </w:p>
        </w:tc>
        <w:tc>
          <w:tcPr>
            <w:tcW w:w="1176"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Всего</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активов</w:t>
            </w:r>
            <w:proofErr w:type="spellEnd"/>
          </w:p>
        </w:tc>
        <w:tc>
          <w:tcPr>
            <w:tcW w:w="124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172 102</w:t>
            </w:r>
          </w:p>
        </w:tc>
        <w:tc>
          <w:tcPr>
            <w:tcW w:w="957"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164 477</w:t>
            </w:r>
          </w:p>
        </w:tc>
        <w:tc>
          <w:tcPr>
            <w:tcW w:w="1057"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1 651</w:t>
            </w:r>
          </w:p>
        </w:tc>
        <w:tc>
          <w:tcPr>
            <w:tcW w:w="944"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3 348</w:t>
            </w:r>
          </w:p>
        </w:tc>
        <w:tc>
          <w:tcPr>
            <w:tcW w:w="1176"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2 252</w:t>
            </w:r>
          </w:p>
        </w:tc>
      </w:tr>
      <w:tr w:rsidR="000D43C9" w:rsidRPr="000D43C9" w:rsidTr="000D43C9">
        <w:trPr>
          <w:trHeight w:val="20"/>
        </w:trPr>
        <w:tc>
          <w:tcPr>
            <w:tcW w:w="2541" w:type="dxa"/>
            <w:vAlign w:val="center"/>
            <w:hideMark/>
          </w:tcPr>
          <w:p w:rsidR="000D43C9" w:rsidRPr="000D43C9" w:rsidRDefault="000D43C9" w:rsidP="000D43C9">
            <w:pPr>
              <w:jc w:val="center"/>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ПАССИВЫ</w:t>
            </w:r>
          </w:p>
        </w:tc>
        <w:tc>
          <w:tcPr>
            <w:tcW w:w="1242" w:type="dxa"/>
            <w:vAlign w:val="center"/>
            <w:hideMark/>
          </w:tcPr>
          <w:p w:rsidR="000D43C9" w:rsidRPr="000D43C9" w:rsidRDefault="000D43C9" w:rsidP="000D43C9">
            <w:pPr>
              <w:jc w:val="right"/>
              <w:rPr>
                <w:rFonts w:ascii="Verdana" w:eastAsia="Times New Roman" w:hAnsi="Verdana" w:cs="Arial"/>
                <w:b/>
                <w:bCs/>
                <w:sz w:val="16"/>
                <w:szCs w:val="16"/>
                <w:lang w:eastAsia="ru-RU"/>
              </w:rPr>
            </w:pPr>
          </w:p>
        </w:tc>
        <w:tc>
          <w:tcPr>
            <w:tcW w:w="957" w:type="dxa"/>
            <w:vAlign w:val="center"/>
            <w:hideMark/>
          </w:tcPr>
          <w:p w:rsidR="000D43C9" w:rsidRPr="000D43C9" w:rsidRDefault="000D43C9" w:rsidP="000D43C9">
            <w:pPr>
              <w:jc w:val="right"/>
              <w:rPr>
                <w:rFonts w:ascii="Verdana" w:eastAsia="Times New Roman" w:hAnsi="Verdana" w:cs="Arial"/>
                <w:b/>
                <w:bCs/>
                <w:sz w:val="16"/>
                <w:szCs w:val="16"/>
                <w:lang w:eastAsia="ru-RU"/>
              </w:rPr>
            </w:pPr>
          </w:p>
        </w:tc>
        <w:tc>
          <w:tcPr>
            <w:tcW w:w="1057" w:type="dxa"/>
            <w:vAlign w:val="center"/>
            <w:hideMark/>
          </w:tcPr>
          <w:p w:rsidR="000D43C9" w:rsidRPr="000D43C9" w:rsidRDefault="000D43C9" w:rsidP="000D43C9">
            <w:pPr>
              <w:jc w:val="right"/>
              <w:rPr>
                <w:rFonts w:ascii="Verdana" w:eastAsia="Times New Roman" w:hAnsi="Verdana" w:cs="Arial"/>
                <w:b/>
                <w:bCs/>
                <w:sz w:val="16"/>
                <w:szCs w:val="16"/>
                <w:lang w:eastAsia="ru-RU"/>
              </w:rPr>
            </w:pPr>
          </w:p>
        </w:tc>
        <w:tc>
          <w:tcPr>
            <w:tcW w:w="944" w:type="dxa"/>
            <w:vAlign w:val="center"/>
            <w:hideMark/>
          </w:tcPr>
          <w:p w:rsidR="000D43C9" w:rsidRPr="000D43C9" w:rsidRDefault="000D43C9" w:rsidP="000D43C9">
            <w:pPr>
              <w:jc w:val="right"/>
              <w:rPr>
                <w:rFonts w:ascii="Verdana" w:eastAsia="Times New Roman" w:hAnsi="Verdana" w:cs="Arial"/>
                <w:b/>
                <w:bCs/>
                <w:sz w:val="16"/>
                <w:szCs w:val="16"/>
                <w:lang w:eastAsia="ru-RU"/>
              </w:rPr>
            </w:pPr>
          </w:p>
        </w:tc>
        <w:tc>
          <w:tcPr>
            <w:tcW w:w="1176" w:type="dxa"/>
            <w:vAlign w:val="center"/>
            <w:hideMark/>
          </w:tcPr>
          <w:p w:rsidR="000D43C9" w:rsidRPr="000D43C9" w:rsidRDefault="000D43C9" w:rsidP="000D43C9">
            <w:pPr>
              <w:jc w:val="right"/>
              <w:rPr>
                <w:rFonts w:ascii="Verdana" w:eastAsia="Times New Roman" w:hAnsi="Verdana" w:cs="Arial"/>
                <w:b/>
                <w:bCs/>
                <w:sz w:val="16"/>
                <w:szCs w:val="16"/>
                <w:lang w:eastAsia="ru-RU"/>
              </w:rPr>
            </w:pP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val="ru-RU" w:eastAsia="ru-RU"/>
              </w:rPr>
            </w:pPr>
            <w:r w:rsidRPr="000D43C9">
              <w:rPr>
                <w:rFonts w:ascii="Verdana" w:eastAsia="Times New Roman" w:hAnsi="Verdana" w:cs="Arial"/>
                <w:sz w:val="16"/>
                <w:szCs w:val="16"/>
                <w:lang w:val="ru-RU" w:eastAsia="ru-RU"/>
              </w:rPr>
              <w:t>Средства клиентов, не являющихся кредитными организациями</w:t>
            </w:r>
          </w:p>
        </w:tc>
        <w:tc>
          <w:tcPr>
            <w:tcW w:w="124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6</w:t>
            </w:r>
          </w:p>
        </w:tc>
        <w:tc>
          <w:tcPr>
            <w:tcW w:w="9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6</w:t>
            </w:r>
          </w:p>
        </w:tc>
        <w:tc>
          <w:tcPr>
            <w:tcW w:w="10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c>
          <w:tcPr>
            <w:tcW w:w="944"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c>
          <w:tcPr>
            <w:tcW w:w="1176"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eastAsia="ru-RU"/>
              </w:rPr>
            </w:pPr>
            <w:proofErr w:type="spellStart"/>
            <w:r w:rsidRPr="000D43C9">
              <w:rPr>
                <w:rFonts w:ascii="Verdana" w:eastAsia="Times New Roman" w:hAnsi="Verdana" w:cs="Arial"/>
                <w:sz w:val="16"/>
                <w:szCs w:val="16"/>
                <w:lang w:eastAsia="ru-RU"/>
              </w:rPr>
              <w:t>Прочие</w:t>
            </w:r>
            <w:proofErr w:type="spellEnd"/>
            <w:r w:rsidRPr="000D43C9">
              <w:rPr>
                <w:rFonts w:ascii="Verdana" w:eastAsia="Times New Roman" w:hAnsi="Verdana" w:cs="Arial"/>
                <w:sz w:val="16"/>
                <w:szCs w:val="16"/>
                <w:lang w:eastAsia="ru-RU"/>
              </w:rPr>
              <w:t xml:space="preserve"> </w:t>
            </w:r>
            <w:proofErr w:type="spellStart"/>
            <w:r w:rsidRPr="000D43C9">
              <w:rPr>
                <w:rFonts w:ascii="Verdana" w:eastAsia="Times New Roman" w:hAnsi="Verdana" w:cs="Arial"/>
                <w:sz w:val="16"/>
                <w:szCs w:val="16"/>
                <w:lang w:eastAsia="ru-RU"/>
              </w:rPr>
              <w:t>обязательства</w:t>
            </w:r>
            <w:proofErr w:type="spellEnd"/>
          </w:p>
        </w:tc>
        <w:tc>
          <w:tcPr>
            <w:tcW w:w="124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4 424</w:t>
            </w:r>
          </w:p>
        </w:tc>
        <w:tc>
          <w:tcPr>
            <w:tcW w:w="9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4 424</w:t>
            </w:r>
          </w:p>
        </w:tc>
        <w:tc>
          <w:tcPr>
            <w:tcW w:w="1057"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c>
          <w:tcPr>
            <w:tcW w:w="944"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c>
          <w:tcPr>
            <w:tcW w:w="1176"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Всего</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обязательств</w:t>
            </w:r>
            <w:proofErr w:type="spellEnd"/>
            <w:r w:rsidRPr="000D43C9">
              <w:rPr>
                <w:rFonts w:ascii="Verdana" w:eastAsia="Times New Roman" w:hAnsi="Verdana" w:cs="Arial"/>
                <w:b/>
                <w:bCs/>
                <w:sz w:val="16"/>
                <w:szCs w:val="16"/>
                <w:lang w:eastAsia="ru-RU"/>
              </w:rPr>
              <w:t xml:space="preserve">                         </w:t>
            </w:r>
          </w:p>
        </w:tc>
        <w:tc>
          <w:tcPr>
            <w:tcW w:w="124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4 430</w:t>
            </w:r>
          </w:p>
        </w:tc>
        <w:tc>
          <w:tcPr>
            <w:tcW w:w="957"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4 430</w:t>
            </w:r>
          </w:p>
        </w:tc>
        <w:tc>
          <w:tcPr>
            <w:tcW w:w="1057"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w:t>
            </w:r>
          </w:p>
        </w:tc>
        <w:tc>
          <w:tcPr>
            <w:tcW w:w="944"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w:t>
            </w:r>
          </w:p>
        </w:tc>
        <w:tc>
          <w:tcPr>
            <w:tcW w:w="1176"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Чистая</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балансовая</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позиция</w:t>
            </w:r>
            <w:proofErr w:type="spellEnd"/>
          </w:p>
        </w:tc>
        <w:tc>
          <w:tcPr>
            <w:tcW w:w="124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167 672</w:t>
            </w:r>
          </w:p>
        </w:tc>
        <w:tc>
          <w:tcPr>
            <w:tcW w:w="957"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160 047</w:t>
            </w:r>
          </w:p>
        </w:tc>
        <w:tc>
          <w:tcPr>
            <w:tcW w:w="1057"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1 651</w:t>
            </w:r>
          </w:p>
        </w:tc>
        <w:tc>
          <w:tcPr>
            <w:tcW w:w="944"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3 348</w:t>
            </w:r>
          </w:p>
        </w:tc>
        <w:tc>
          <w:tcPr>
            <w:tcW w:w="1176"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2 252</w:t>
            </w:r>
          </w:p>
        </w:tc>
      </w:tr>
    </w:tbl>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b/>
          <w:sz w:val="20"/>
          <w:szCs w:val="20"/>
          <w:lang w:eastAsia="ru-RU"/>
        </w:rPr>
        <w:t>Риск процентной ставки.</w:t>
      </w:r>
      <w:r w:rsidRPr="000D43C9">
        <w:rPr>
          <w:rFonts w:ascii="Verdana" w:eastAsia="Times New Roman" w:hAnsi="Verdana" w:cs="Arial"/>
          <w:sz w:val="20"/>
          <w:szCs w:val="20"/>
          <w:lang w:eastAsia="ru-RU"/>
        </w:rPr>
        <w:t xml:space="preserve"> В связи с тем, что в НКО отсутствуют активы, пассивы и </w:t>
      </w:r>
      <w:proofErr w:type="spellStart"/>
      <w:r w:rsidRPr="000D43C9">
        <w:rPr>
          <w:rFonts w:ascii="Verdana" w:eastAsia="Times New Roman" w:hAnsi="Verdana" w:cs="Arial"/>
          <w:sz w:val="20"/>
          <w:szCs w:val="20"/>
          <w:lang w:eastAsia="ru-RU"/>
        </w:rPr>
        <w:t>внебалансовые</w:t>
      </w:r>
      <w:proofErr w:type="spellEnd"/>
      <w:r w:rsidRPr="000D43C9">
        <w:rPr>
          <w:rFonts w:ascii="Verdana" w:eastAsia="Times New Roman" w:hAnsi="Verdana" w:cs="Arial"/>
          <w:sz w:val="20"/>
          <w:szCs w:val="20"/>
          <w:lang w:eastAsia="ru-RU"/>
        </w:rPr>
        <w:t xml:space="preserve"> требования с изменяющейся процентной ставкой, НКО считает, что такой риск в деятельности НКО отсутствует.</w:t>
      </w:r>
    </w:p>
    <w:p w:rsidR="000D43C9" w:rsidRPr="000D43C9" w:rsidRDefault="000D43C9" w:rsidP="000D43C9">
      <w:pPr>
        <w:keepNext/>
        <w:spacing w:before="240" w:after="240" w:line="240" w:lineRule="auto"/>
        <w:ind w:left="142"/>
        <w:outlineLvl w:val="1"/>
        <w:rPr>
          <w:rFonts w:ascii="Verdana" w:eastAsia="Times New Roman" w:hAnsi="Verdana" w:cs="Arial"/>
          <w:b/>
          <w:sz w:val="20"/>
          <w:szCs w:val="20"/>
          <w:lang w:eastAsia="ru-RU"/>
        </w:rPr>
      </w:pPr>
      <w:bookmarkStart w:id="28" w:name="_Toc446328454"/>
      <w:bookmarkStart w:id="29" w:name="_Toc392574699"/>
      <w:bookmarkStart w:id="30" w:name="_Toc392574764"/>
      <w:bookmarkStart w:id="31" w:name="_Toc392606634"/>
      <w:bookmarkStart w:id="32" w:name="_Toc392606745"/>
      <w:bookmarkStart w:id="33" w:name="_Toc392673776"/>
      <w:bookmarkStart w:id="34" w:name="_Toc392684338"/>
      <w:bookmarkStart w:id="35" w:name="_Toc392686190"/>
      <w:bookmarkStart w:id="36" w:name="_Toc392747375"/>
      <w:bookmarkStart w:id="37" w:name="_Toc392776838"/>
      <w:bookmarkStart w:id="38" w:name="_Toc392574700"/>
      <w:bookmarkStart w:id="39" w:name="_Toc392574765"/>
      <w:bookmarkStart w:id="40" w:name="_Toc392606635"/>
      <w:bookmarkStart w:id="41" w:name="_Toc392606746"/>
      <w:bookmarkStart w:id="42" w:name="_Toc392673777"/>
      <w:bookmarkStart w:id="43" w:name="_Toc392684339"/>
      <w:bookmarkStart w:id="44" w:name="_Toc392686191"/>
      <w:bookmarkStart w:id="45" w:name="_Toc392747376"/>
      <w:bookmarkStart w:id="46" w:name="_Toc392776839"/>
      <w:bookmarkStart w:id="47" w:name="_Toc392574701"/>
      <w:bookmarkStart w:id="48" w:name="_Toc392574766"/>
      <w:bookmarkStart w:id="49" w:name="_Toc392606636"/>
      <w:bookmarkStart w:id="50" w:name="_Toc392606747"/>
      <w:bookmarkStart w:id="51" w:name="_Toc392673778"/>
      <w:bookmarkStart w:id="52" w:name="_Toc392684340"/>
      <w:bookmarkStart w:id="53" w:name="_Toc392686192"/>
      <w:bookmarkStart w:id="54" w:name="_Toc392747377"/>
      <w:bookmarkStart w:id="55" w:name="_Toc392776840"/>
      <w:bookmarkStart w:id="56" w:name="_Toc392574702"/>
      <w:bookmarkStart w:id="57" w:name="_Toc392574767"/>
      <w:bookmarkStart w:id="58" w:name="_Toc392606637"/>
      <w:bookmarkStart w:id="59" w:name="_Toc392606748"/>
      <w:bookmarkStart w:id="60" w:name="_Toc392673779"/>
      <w:bookmarkStart w:id="61" w:name="_Toc392684341"/>
      <w:bookmarkStart w:id="62" w:name="_Toc392686193"/>
      <w:bookmarkStart w:id="63" w:name="_Toc392747378"/>
      <w:bookmarkStart w:id="64" w:name="_Toc392776841"/>
      <w:bookmarkStart w:id="65" w:name="_Toc392574703"/>
      <w:bookmarkStart w:id="66" w:name="_Toc392574768"/>
      <w:bookmarkStart w:id="67" w:name="_Toc392606638"/>
      <w:bookmarkStart w:id="68" w:name="_Toc392606749"/>
      <w:bookmarkStart w:id="69" w:name="_Toc392673780"/>
      <w:bookmarkStart w:id="70" w:name="_Toc392684342"/>
      <w:bookmarkStart w:id="71" w:name="_Toc392686194"/>
      <w:bookmarkStart w:id="72" w:name="_Toc392747379"/>
      <w:bookmarkStart w:id="73" w:name="_Toc392776842"/>
      <w:bookmarkStart w:id="74" w:name="_Toc392574704"/>
      <w:bookmarkStart w:id="75" w:name="_Toc392574769"/>
      <w:bookmarkStart w:id="76" w:name="_Toc392606639"/>
      <w:bookmarkStart w:id="77" w:name="_Toc392606750"/>
      <w:bookmarkStart w:id="78" w:name="_Toc392673781"/>
      <w:bookmarkStart w:id="79" w:name="_Toc392684343"/>
      <w:bookmarkStart w:id="80" w:name="_Toc392686195"/>
      <w:bookmarkStart w:id="81" w:name="_Toc392747380"/>
      <w:bookmarkStart w:id="82" w:name="_Toc392776843"/>
      <w:bookmarkStart w:id="83" w:name="_Toc392574705"/>
      <w:bookmarkStart w:id="84" w:name="_Toc392574770"/>
      <w:bookmarkStart w:id="85" w:name="_Toc392606640"/>
      <w:bookmarkStart w:id="86" w:name="_Toc392606751"/>
      <w:bookmarkStart w:id="87" w:name="_Toc392673782"/>
      <w:bookmarkStart w:id="88" w:name="_Toc392684344"/>
      <w:bookmarkStart w:id="89" w:name="_Toc392686196"/>
      <w:bookmarkStart w:id="90" w:name="_Toc392747381"/>
      <w:bookmarkStart w:id="91" w:name="_Toc392776844"/>
      <w:bookmarkStart w:id="92" w:name="_Toc392574706"/>
      <w:bookmarkStart w:id="93" w:name="_Toc392574771"/>
      <w:bookmarkStart w:id="94" w:name="_Toc392606641"/>
      <w:bookmarkStart w:id="95" w:name="_Toc392606752"/>
      <w:bookmarkStart w:id="96" w:name="_Toc392673783"/>
      <w:bookmarkStart w:id="97" w:name="_Toc392684345"/>
      <w:bookmarkStart w:id="98" w:name="_Toc392686197"/>
      <w:bookmarkStart w:id="99" w:name="_Toc392747382"/>
      <w:bookmarkStart w:id="100" w:name="_Toc392776845"/>
      <w:bookmarkStart w:id="101" w:name="_Toc392574707"/>
      <w:bookmarkStart w:id="102" w:name="_Toc392574772"/>
      <w:bookmarkStart w:id="103" w:name="_Toc392606642"/>
      <w:bookmarkStart w:id="104" w:name="_Toc392606753"/>
      <w:bookmarkStart w:id="105" w:name="_Toc392673784"/>
      <w:bookmarkStart w:id="106" w:name="_Toc392684346"/>
      <w:bookmarkStart w:id="107" w:name="_Toc392686198"/>
      <w:bookmarkStart w:id="108" w:name="_Toc392747383"/>
      <w:bookmarkStart w:id="109" w:name="_Toc392776846"/>
      <w:bookmarkStart w:id="110" w:name="_Toc392574708"/>
      <w:bookmarkStart w:id="111" w:name="_Toc392574773"/>
      <w:bookmarkStart w:id="112" w:name="_Toc392606643"/>
      <w:bookmarkStart w:id="113" w:name="_Toc392606754"/>
      <w:bookmarkStart w:id="114" w:name="_Toc392673785"/>
      <w:bookmarkStart w:id="115" w:name="_Toc392684347"/>
      <w:bookmarkStart w:id="116" w:name="_Toc392686199"/>
      <w:bookmarkStart w:id="117" w:name="_Toc392747384"/>
      <w:bookmarkStart w:id="118" w:name="_Toc392776847"/>
      <w:bookmarkStart w:id="119" w:name="_Toc392574709"/>
      <w:bookmarkStart w:id="120" w:name="_Toc392574774"/>
      <w:bookmarkStart w:id="121" w:name="_Toc392606644"/>
      <w:bookmarkStart w:id="122" w:name="_Toc392606755"/>
      <w:bookmarkStart w:id="123" w:name="_Toc392673786"/>
      <w:bookmarkStart w:id="124" w:name="_Toc392684348"/>
      <w:bookmarkStart w:id="125" w:name="_Toc392686200"/>
      <w:bookmarkStart w:id="126" w:name="_Toc392747385"/>
      <w:bookmarkStart w:id="127" w:name="_Toc392776848"/>
      <w:bookmarkStart w:id="128" w:name="_Toc392574710"/>
      <w:bookmarkStart w:id="129" w:name="_Toc392574775"/>
      <w:bookmarkStart w:id="130" w:name="_Toc392606645"/>
      <w:bookmarkStart w:id="131" w:name="_Toc392606756"/>
      <w:bookmarkStart w:id="132" w:name="_Toc392673787"/>
      <w:bookmarkStart w:id="133" w:name="_Toc392684349"/>
      <w:bookmarkStart w:id="134" w:name="_Toc392686201"/>
      <w:bookmarkStart w:id="135" w:name="_Toc392747386"/>
      <w:bookmarkStart w:id="136" w:name="_Toc392776849"/>
      <w:bookmarkStart w:id="137" w:name="_Toc392574711"/>
      <w:bookmarkStart w:id="138" w:name="_Toc392574776"/>
      <w:bookmarkStart w:id="139" w:name="_Toc392606646"/>
      <w:bookmarkStart w:id="140" w:name="_Toc392606757"/>
      <w:bookmarkStart w:id="141" w:name="_Toc392673788"/>
      <w:bookmarkStart w:id="142" w:name="_Toc392684350"/>
      <w:bookmarkStart w:id="143" w:name="_Toc392686202"/>
      <w:bookmarkStart w:id="144" w:name="_Toc392747387"/>
      <w:bookmarkStart w:id="145" w:name="_Toc392776850"/>
      <w:bookmarkStart w:id="146" w:name="_Toc392574712"/>
      <w:bookmarkStart w:id="147" w:name="_Toc392574777"/>
      <w:bookmarkStart w:id="148" w:name="_Toc392606647"/>
      <w:bookmarkStart w:id="149" w:name="_Toc392606758"/>
      <w:bookmarkStart w:id="150" w:name="_Toc392673789"/>
      <w:bookmarkStart w:id="151" w:name="_Toc392684351"/>
      <w:bookmarkStart w:id="152" w:name="_Toc392686203"/>
      <w:bookmarkStart w:id="153" w:name="_Toc392747388"/>
      <w:bookmarkStart w:id="154" w:name="_Toc392776851"/>
      <w:bookmarkStart w:id="155" w:name="_Toc392574713"/>
      <w:bookmarkStart w:id="156" w:name="_Toc392574778"/>
      <w:bookmarkStart w:id="157" w:name="_Toc392606648"/>
      <w:bookmarkStart w:id="158" w:name="_Toc392606759"/>
      <w:bookmarkStart w:id="159" w:name="_Toc392673790"/>
      <w:bookmarkStart w:id="160" w:name="_Toc392684352"/>
      <w:bookmarkStart w:id="161" w:name="_Toc392686204"/>
      <w:bookmarkStart w:id="162" w:name="_Toc392747389"/>
      <w:bookmarkStart w:id="163" w:name="_Toc392776852"/>
      <w:bookmarkStart w:id="164" w:name="_Toc392574714"/>
      <w:bookmarkStart w:id="165" w:name="_Toc392574779"/>
      <w:bookmarkStart w:id="166" w:name="_Toc392606649"/>
      <w:bookmarkStart w:id="167" w:name="_Toc392606760"/>
      <w:bookmarkStart w:id="168" w:name="_Toc392673791"/>
      <w:bookmarkStart w:id="169" w:name="_Toc392684353"/>
      <w:bookmarkStart w:id="170" w:name="_Toc392686205"/>
      <w:bookmarkStart w:id="171" w:name="_Toc392747390"/>
      <w:bookmarkStart w:id="172" w:name="_Toc392776853"/>
      <w:bookmarkStart w:id="173" w:name="_Toc392574715"/>
      <w:bookmarkStart w:id="174" w:name="_Toc392574780"/>
      <w:bookmarkStart w:id="175" w:name="_Toc392606650"/>
      <w:bookmarkStart w:id="176" w:name="_Toc392606761"/>
      <w:bookmarkStart w:id="177" w:name="_Toc392673792"/>
      <w:bookmarkStart w:id="178" w:name="_Toc392684354"/>
      <w:bookmarkStart w:id="179" w:name="_Toc392686206"/>
      <w:bookmarkStart w:id="180" w:name="_Toc392747391"/>
      <w:bookmarkStart w:id="181" w:name="_Toc392776854"/>
      <w:bookmarkStart w:id="182" w:name="_Toc392574716"/>
      <w:bookmarkStart w:id="183" w:name="_Toc392574781"/>
      <w:bookmarkStart w:id="184" w:name="_Toc392606651"/>
      <w:bookmarkStart w:id="185" w:name="_Toc392606762"/>
      <w:bookmarkStart w:id="186" w:name="_Toc392673793"/>
      <w:bookmarkStart w:id="187" w:name="_Toc392684355"/>
      <w:bookmarkStart w:id="188" w:name="_Toc392686207"/>
      <w:bookmarkStart w:id="189" w:name="_Toc392747392"/>
      <w:bookmarkStart w:id="190" w:name="_Toc392776855"/>
      <w:bookmarkStart w:id="191" w:name="_Toc392574717"/>
      <w:bookmarkStart w:id="192" w:name="_Toc392574782"/>
      <w:bookmarkStart w:id="193" w:name="_Toc392606652"/>
      <w:bookmarkStart w:id="194" w:name="_Toc392606763"/>
      <w:bookmarkStart w:id="195" w:name="_Toc392673794"/>
      <w:bookmarkStart w:id="196" w:name="_Toc392684356"/>
      <w:bookmarkStart w:id="197" w:name="_Toc392686208"/>
      <w:bookmarkStart w:id="198" w:name="_Toc392747393"/>
      <w:bookmarkStart w:id="199" w:name="_Toc392776856"/>
      <w:bookmarkStart w:id="200" w:name="_Toc392574718"/>
      <w:bookmarkStart w:id="201" w:name="_Toc392574783"/>
      <w:bookmarkStart w:id="202" w:name="_Toc392606653"/>
      <w:bookmarkStart w:id="203" w:name="_Toc392606764"/>
      <w:bookmarkStart w:id="204" w:name="_Toc392673795"/>
      <w:bookmarkStart w:id="205" w:name="_Toc392684357"/>
      <w:bookmarkStart w:id="206" w:name="_Toc392686209"/>
      <w:bookmarkStart w:id="207" w:name="_Toc392747394"/>
      <w:bookmarkStart w:id="208" w:name="_Toc392776857"/>
      <w:bookmarkStart w:id="209" w:name="_Toc392574719"/>
      <w:bookmarkStart w:id="210" w:name="_Toc392574784"/>
      <w:bookmarkStart w:id="211" w:name="_Toc392606654"/>
      <w:bookmarkStart w:id="212" w:name="_Toc392606765"/>
      <w:bookmarkStart w:id="213" w:name="_Toc392673796"/>
      <w:bookmarkStart w:id="214" w:name="_Toc392684358"/>
      <w:bookmarkStart w:id="215" w:name="_Toc392686210"/>
      <w:bookmarkStart w:id="216" w:name="_Toc392747395"/>
      <w:bookmarkStart w:id="217" w:name="_Toc392776858"/>
      <w:bookmarkStart w:id="218" w:name="_Toc392574720"/>
      <w:bookmarkStart w:id="219" w:name="_Toc392574785"/>
      <w:bookmarkStart w:id="220" w:name="_Toc392606655"/>
      <w:bookmarkStart w:id="221" w:name="_Toc392606766"/>
      <w:bookmarkStart w:id="222" w:name="_Toc392673797"/>
      <w:bookmarkStart w:id="223" w:name="_Toc392684359"/>
      <w:bookmarkStart w:id="224" w:name="_Toc392686211"/>
      <w:bookmarkStart w:id="225" w:name="_Toc392747396"/>
      <w:bookmarkStart w:id="226" w:name="_Toc392776859"/>
      <w:bookmarkStart w:id="227" w:name="_Toc392574721"/>
      <w:bookmarkStart w:id="228" w:name="_Toc392574786"/>
      <w:bookmarkStart w:id="229" w:name="_Toc392606656"/>
      <w:bookmarkStart w:id="230" w:name="_Toc392606767"/>
      <w:bookmarkStart w:id="231" w:name="_Toc392673798"/>
      <w:bookmarkStart w:id="232" w:name="_Toc392684360"/>
      <w:bookmarkStart w:id="233" w:name="_Toc392686212"/>
      <w:bookmarkStart w:id="234" w:name="_Toc392747397"/>
      <w:bookmarkStart w:id="235" w:name="_Toc392776860"/>
      <w:bookmarkStart w:id="236" w:name="_Toc392574722"/>
      <w:bookmarkStart w:id="237" w:name="_Toc392574787"/>
      <w:bookmarkStart w:id="238" w:name="_Toc392606657"/>
      <w:bookmarkStart w:id="239" w:name="_Toc392606768"/>
      <w:bookmarkStart w:id="240" w:name="_Toc392673799"/>
      <w:bookmarkStart w:id="241" w:name="_Toc392684361"/>
      <w:bookmarkStart w:id="242" w:name="_Toc392686213"/>
      <w:bookmarkStart w:id="243" w:name="_Toc392747398"/>
      <w:bookmarkStart w:id="244" w:name="_Toc392776861"/>
      <w:bookmarkStart w:id="245" w:name="_Toc392574723"/>
      <w:bookmarkStart w:id="246" w:name="_Toc392574788"/>
      <w:bookmarkStart w:id="247" w:name="_Toc392606658"/>
      <w:bookmarkStart w:id="248" w:name="_Toc392606769"/>
      <w:bookmarkStart w:id="249" w:name="_Toc392673800"/>
      <w:bookmarkStart w:id="250" w:name="_Toc392684362"/>
      <w:bookmarkStart w:id="251" w:name="_Toc392686214"/>
      <w:bookmarkStart w:id="252" w:name="_Toc392747399"/>
      <w:bookmarkStart w:id="253" w:name="_Toc392776862"/>
      <w:bookmarkStart w:id="254" w:name="_Toc392574724"/>
      <w:bookmarkStart w:id="255" w:name="_Toc392574789"/>
      <w:bookmarkStart w:id="256" w:name="_Toc392606659"/>
      <w:bookmarkStart w:id="257" w:name="_Toc392606770"/>
      <w:bookmarkStart w:id="258" w:name="_Toc392673801"/>
      <w:bookmarkStart w:id="259" w:name="_Toc392684363"/>
      <w:bookmarkStart w:id="260" w:name="_Toc392686215"/>
      <w:bookmarkStart w:id="261" w:name="_Toc392747400"/>
      <w:bookmarkStart w:id="262" w:name="_Toc392776863"/>
      <w:bookmarkStart w:id="263" w:name="_Toc392574725"/>
      <w:bookmarkStart w:id="264" w:name="_Toc392574790"/>
      <w:bookmarkStart w:id="265" w:name="_Toc392606660"/>
      <w:bookmarkStart w:id="266" w:name="_Toc392606771"/>
      <w:bookmarkStart w:id="267" w:name="_Toc392673802"/>
      <w:bookmarkStart w:id="268" w:name="_Toc392684364"/>
      <w:bookmarkStart w:id="269" w:name="_Toc392686216"/>
      <w:bookmarkStart w:id="270" w:name="_Toc392747401"/>
      <w:bookmarkStart w:id="271" w:name="_Toc392776864"/>
      <w:bookmarkStart w:id="272" w:name="_Toc392574726"/>
      <w:bookmarkStart w:id="273" w:name="_Toc392574791"/>
      <w:bookmarkStart w:id="274" w:name="_Toc392606661"/>
      <w:bookmarkStart w:id="275" w:name="_Toc392606772"/>
      <w:bookmarkStart w:id="276" w:name="_Toc392673803"/>
      <w:bookmarkStart w:id="277" w:name="_Toc392684365"/>
      <w:bookmarkStart w:id="278" w:name="_Toc392686217"/>
      <w:bookmarkStart w:id="279" w:name="_Toc392747402"/>
      <w:bookmarkStart w:id="280" w:name="_Toc392776865"/>
      <w:bookmarkStart w:id="281" w:name="_Toc392574727"/>
      <w:bookmarkStart w:id="282" w:name="_Toc392574792"/>
      <w:bookmarkStart w:id="283" w:name="_Toc392606662"/>
      <w:bookmarkStart w:id="284" w:name="_Toc392606773"/>
      <w:bookmarkStart w:id="285" w:name="_Toc392673804"/>
      <w:bookmarkStart w:id="286" w:name="_Toc392684366"/>
      <w:bookmarkStart w:id="287" w:name="_Toc392686218"/>
      <w:bookmarkStart w:id="288" w:name="_Toc392747403"/>
      <w:bookmarkStart w:id="289" w:name="_Toc392776866"/>
      <w:bookmarkStart w:id="290" w:name="_Toc392574728"/>
      <w:bookmarkStart w:id="291" w:name="_Toc392574793"/>
      <w:bookmarkStart w:id="292" w:name="_Toc392606663"/>
      <w:bookmarkStart w:id="293" w:name="_Toc392606774"/>
      <w:bookmarkStart w:id="294" w:name="_Toc392673805"/>
      <w:bookmarkStart w:id="295" w:name="_Toc392684367"/>
      <w:bookmarkStart w:id="296" w:name="_Toc392686219"/>
      <w:bookmarkStart w:id="297" w:name="_Toc392747404"/>
      <w:bookmarkStart w:id="298" w:name="_Toc392776867"/>
      <w:bookmarkStart w:id="299" w:name="_Toc392574729"/>
      <w:bookmarkStart w:id="300" w:name="_Toc392574794"/>
      <w:bookmarkStart w:id="301" w:name="_Toc392606664"/>
      <w:bookmarkStart w:id="302" w:name="_Toc392606775"/>
      <w:bookmarkStart w:id="303" w:name="_Toc392673806"/>
      <w:bookmarkStart w:id="304" w:name="_Toc392684368"/>
      <w:bookmarkStart w:id="305" w:name="_Toc392686220"/>
      <w:bookmarkStart w:id="306" w:name="_Toc392747405"/>
      <w:bookmarkStart w:id="307" w:name="_Toc392776868"/>
      <w:bookmarkStart w:id="308" w:name="_Toc392574730"/>
      <w:bookmarkStart w:id="309" w:name="_Toc392574795"/>
      <w:bookmarkStart w:id="310" w:name="_Toc392606665"/>
      <w:bookmarkStart w:id="311" w:name="_Toc392606776"/>
      <w:bookmarkStart w:id="312" w:name="_Toc392673807"/>
      <w:bookmarkStart w:id="313" w:name="_Toc392684369"/>
      <w:bookmarkStart w:id="314" w:name="_Toc392686221"/>
      <w:bookmarkStart w:id="315" w:name="_Toc392747406"/>
      <w:bookmarkStart w:id="316" w:name="_Toc392776869"/>
      <w:bookmarkStart w:id="317" w:name="_Toc392574731"/>
      <w:bookmarkStart w:id="318" w:name="_Toc392574796"/>
      <w:bookmarkStart w:id="319" w:name="_Toc392606666"/>
      <w:bookmarkStart w:id="320" w:name="_Toc392606777"/>
      <w:bookmarkStart w:id="321" w:name="_Toc392673808"/>
      <w:bookmarkStart w:id="322" w:name="_Toc392684370"/>
      <w:bookmarkStart w:id="323" w:name="_Toc392686222"/>
      <w:bookmarkStart w:id="324" w:name="_Toc392747407"/>
      <w:bookmarkStart w:id="325" w:name="_Toc392776870"/>
      <w:bookmarkStart w:id="326" w:name="_Toc392574732"/>
      <w:bookmarkStart w:id="327" w:name="_Toc392574797"/>
      <w:bookmarkStart w:id="328" w:name="_Toc392606667"/>
      <w:bookmarkStart w:id="329" w:name="_Toc392606778"/>
      <w:bookmarkStart w:id="330" w:name="_Toc392673809"/>
      <w:bookmarkStart w:id="331" w:name="_Toc392684371"/>
      <w:bookmarkStart w:id="332" w:name="_Toc392686223"/>
      <w:bookmarkStart w:id="333" w:name="_Toc392747408"/>
      <w:bookmarkStart w:id="334" w:name="_Toc392776871"/>
      <w:bookmarkStart w:id="335" w:name="_Кредитный_риск"/>
      <w:bookmarkStart w:id="336" w:name="_Toc396480945"/>
      <w:bookmarkStart w:id="337" w:name="_Toc50622287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0D43C9">
        <w:rPr>
          <w:rFonts w:ascii="Verdana" w:eastAsia="Times New Roman" w:hAnsi="Verdana" w:cs="Arial"/>
          <w:b/>
          <w:sz w:val="20"/>
          <w:szCs w:val="20"/>
          <w:lang w:eastAsia="ru-RU"/>
        </w:rPr>
        <w:t>Операционный риск</w:t>
      </w:r>
      <w:bookmarkEnd w:id="336"/>
      <w:bookmarkEnd w:id="337"/>
    </w:p>
    <w:p w:rsidR="000D43C9" w:rsidRPr="000D43C9" w:rsidRDefault="000D43C9" w:rsidP="000D43C9">
      <w:pPr>
        <w:widowControl w:val="0"/>
        <w:spacing w:before="240" w:after="240" w:line="240" w:lineRule="auto"/>
        <w:rPr>
          <w:rFonts w:ascii="Verdana" w:eastAsia="Arial,Bold" w:hAnsi="Verdana" w:cs="Arial"/>
          <w:sz w:val="20"/>
          <w:szCs w:val="20"/>
          <w:lang w:eastAsia="ru-RU"/>
        </w:rPr>
      </w:pPr>
      <w:bookmarkStart w:id="338" w:name="_Toc446328460"/>
      <w:bookmarkStart w:id="339" w:name="_Toc392686230"/>
      <w:bookmarkStart w:id="340" w:name="_Toc392747413"/>
      <w:bookmarkStart w:id="341" w:name="_Toc392776876"/>
      <w:bookmarkStart w:id="342" w:name="_Toc392686231"/>
      <w:bookmarkStart w:id="343" w:name="_Toc392747414"/>
      <w:bookmarkStart w:id="344" w:name="_Toc392776877"/>
      <w:bookmarkStart w:id="345" w:name="_Toc392686232"/>
      <w:bookmarkStart w:id="346" w:name="_Toc392747415"/>
      <w:bookmarkStart w:id="347" w:name="_Toc392776878"/>
      <w:bookmarkStart w:id="348" w:name="_Toc392686233"/>
      <w:bookmarkStart w:id="349" w:name="_Toc392747416"/>
      <w:bookmarkStart w:id="350" w:name="_Toc392776879"/>
      <w:bookmarkStart w:id="351" w:name="_Toc392686234"/>
      <w:bookmarkStart w:id="352" w:name="_Toc392747417"/>
      <w:bookmarkStart w:id="353" w:name="_Toc392776880"/>
      <w:bookmarkStart w:id="354" w:name="_Toc392686235"/>
      <w:bookmarkStart w:id="355" w:name="_Toc392747418"/>
      <w:bookmarkStart w:id="356" w:name="_Toc392776881"/>
      <w:bookmarkStart w:id="357" w:name="_Toc392686236"/>
      <w:bookmarkStart w:id="358" w:name="_Toc392747419"/>
      <w:bookmarkStart w:id="359" w:name="_Toc392776882"/>
      <w:bookmarkStart w:id="360" w:name="_Toc392686237"/>
      <w:bookmarkStart w:id="361" w:name="_Toc392747420"/>
      <w:bookmarkStart w:id="362" w:name="_Toc392776883"/>
      <w:bookmarkStart w:id="363" w:name="_Toc392686238"/>
      <w:bookmarkStart w:id="364" w:name="_Toc392747421"/>
      <w:bookmarkStart w:id="365" w:name="_Toc392776884"/>
      <w:bookmarkStart w:id="366" w:name="_Toc392686239"/>
      <w:bookmarkStart w:id="367" w:name="_Toc392747422"/>
      <w:bookmarkStart w:id="368" w:name="_Toc392776885"/>
      <w:bookmarkStart w:id="369" w:name="_Toc392686240"/>
      <w:bookmarkStart w:id="370" w:name="_Toc392747423"/>
      <w:bookmarkStart w:id="371" w:name="_Toc392776886"/>
      <w:bookmarkStart w:id="372" w:name="_Toc392686241"/>
      <w:bookmarkStart w:id="373" w:name="_Toc392747424"/>
      <w:bookmarkStart w:id="374" w:name="_Toc392776887"/>
      <w:bookmarkStart w:id="375" w:name="_Toc392686242"/>
      <w:bookmarkStart w:id="376" w:name="_Toc392747425"/>
      <w:bookmarkStart w:id="377" w:name="_Toc392776888"/>
      <w:bookmarkStart w:id="378" w:name="_Toc392686243"/>
      <w:bookmarkStart w:id="379" w:name="_Toc392747426"/>
      <w:bookmarkStart w:id="380" w:name="_Toc392776889"/>
      <w:bookmarkStart w:id="381" w:name="_Toc392686244"/>
      <w:bookmarkStart w:id="382" w:name="_Toc392747427"/>
      <w:bookmarkStart w:id="383" w:name="_Toc392776890"/>
      <w:bookmarkStart w:id="384" w:name="_Toc392686245"/>
      <w:bookmarkStart w:id="385" w:name="_Toc392747428"/>
      <w:bookmarkStart w:id="386" w:name="_Toc392776891"/>
      <w:bookmarkStart w:id="387" w:name="_Toc392686246"/>
      <w:bookmarkStart w:id="388" w:name="_Toc392747429"/>
      <w:bookmarkStart w:id="389" w:name="_Toc392776892"/>
      <w:bookmarkStart w:id="390" w:name="_Риск_ликвидности"/>
      <w:bookmarkStart w:id="391" w:name="_Toc396480946"/>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0D43C9">
        <w:rPr>
          <w:rFonts w:ascii="Verdana" w:eastAsia="Arial,Bold" w:hAnsi="Verdana" w:cs="Arial"/>
          <w:sz w:val="20"/>
          <w:szCs w:val="20"/>
          <w:lang w:eastAsia="ru-RU"/>
        </w:rPr>
        <w:t>Операционный риск – риск возникновения убытков в результате несоответствия характеру и масштабам деятельности НКО и (или) требованиям действующего законодательства внутренних порядков и процедур проведения банковских операций и других сделок, их нарушения работниками НКО и (или) иными лицами (вследствие непреднамеренных или умышленных действий или бездействия), несоразмерности (недостаточности) функциональных возможностей применяемых Банком информационных, технологических и других систем и (или) их отказов (нарушения функционирования), а также в результате воздействия внешних событий.</w:t>
      </w:r>
    </w:p>
    <w:p w:rsidR="000D43C9" w:rsidRPr="000D43C9" w:rsidRDefault="000D43C9" w:rsidP="000D43C9">
      <w:pPr>
        <w:widowControl w:val="0"/>
        <w:spacing w:before="240" w:after="240" w:line="240" w:lineRule="auto"/>
        <w:rPr>
          <w:rFonts w:ascii="Verdana" w:eastAsia="Arial,Bold" w:hAnsi="Verdana" w:cs="Arial"/>
          <w:sz w:val="20"/>
          <w:szCs w:val="20"/>
          <w:lang w:eastAsia="ru-RU"/>
        </w:rPr>
      </w:pPr>
      <w:r w:rsidRPr="000D43C9">
        <w:rPr>
          <w:rFonts w:ascii="Verdana" w:eastAsia="Arial,Bold" w:hAnsi="Verdana" w:cs="Arial"/>
          <w:sz w:val="20"/>
          <w:szCs w:val="20"/>
          <w:lang w:eastAsia="ru-RU"/>
        </w:rPr>
        <w:t>В НКО утверждена Политика управления операционными рисками, которая предусматривает как предупреждение известных рисков, так и идентификацию новых операционных рисков, возникающих в процессе деятельности НКО.</w:t>
      </w:r>
    </w:p>
    <w:p w:rsidR="000D43C9" w:rsidRPr="000D43C9" w:rsidRDefault="000D43C9" w:rsidP="000D43C9">
      <w:pPr>
        <w:widowControl w:val="0"/>
        <w:spacing w:before="240" w:after="240" w:line="240" w:lineRule="auto"/>
        <w:rPr>
          <w:rFonts w:ascii="Verdana" w:eastAsia="Arial,Bold" w:hAnsi="Verdana" w:cs="Arial"/>
          <w:sz w:val="20"/>
          <w:szCs w:val="20"/>
          <w:lang w:eastAsia="ru-RU"/>
        </w:rPr>
      </w:pPr>
      <w:r w:rsidRPr="000D43C9">
        <w:rPr>
          <w:rFonts w:ascii="Verdana" w:eastAsia="Arial,Bold" w:hAnsi="Verdana" w:cs="Arial"/>
          <w:sz w:val="20"/>
          <w:szCs w:val="20"/>
          <w:lang w:eastAsia="ru-RU"/>
        </w:rPr>
        <w:t xml:space="preserve">Банк осуществляет управление операционным риском в соответствии с Письмом Банка России от 24.05.2005 № 76-Т «Об организации управления операционным риском в кредитных организациях» и рекомендации </w:t>
      </w:r>
      <w:proofErr w:type="spellStart"/>
      <w:r w:rsidRPr="000D43C9">
        <w:rPr>
          <w:rFonts w:ascii="Verdana" w:eastAsia="Arial,Bold" w:hAnsi="Verdana" w:cs="Arial"/>
          <w:sz w:val="20"/>
          <w:szCs w:val="20"/>
          <w:lang w:eastAsia="ru-RU"/>
        </w:rPr>
        <w:t>Базельского</w:t>
      </w:r>
      <w:proofErr w:type="spellEnd"/>
      <w:r w:rsidRPr="000D43C9">
        <w:rPr>
          <w:rFonts w:ascii="Verdana" w:eastAsia="Arial,Bold" w:hAnsi="Verdana" w:cs="Arial"/>
          <w:sz w:val="20"/>
          <w:szCs w:val="20"/>
          <w:lang w:eastAsia="ru-RU"/>
        </w:rPr>
        <w:t xml:space="preserve"> комитета по банковскому надзору.</w:t>
      </w:r>
    </w:p>
    <w:p w:rsidR="000D43C9" w:rsidRPr="000D43C9" w:rsidRDefault="000D43C9" w:rsidP="000D43C9">
      <w:pPr>
        <w:widowControl w:val="0"/>
        <w:spacing w:before="240" w:after="240" w:line="240" w:lineRule="auto"/>
        <w:rPr>
          <w:rFonts w:ascii="Verdana" w:eastAsia="Calibri" w:hAnsi="Verdana" w:cs="Arial"/>
          <w:sz w:val="20"/>
          <w:szCs w:val="20"/>
        </w:rPr>
      </w:pPr>
      <w:r w:rsidRPr="000D43C9">
        <w:rPr>
          <w:rFonts w:ascii="Verdana" w:eastAsia="Calibri" w:hAnsi="Verdana" w:cs="Arial"/>
          <w:sz w:val="20"/>
          <w:szCs w:val="20"/>
        </w:rPr>
        <w:t>В целях оценки требований к капиталу в отношении операционного риска в Банке используется базовый индикативный подход. Ниже представлена информация о размере операционного риска и величине дохода (процентного и непроцентного) для целей расчета капитала на покрытие операционного риска по состоянию на 01.01.2018:</w:t>
      </w:r>
    </w:p>
    <w:tbl>
      <w:tblPr>
        <w:tblW w:w="0" w:type="auto"/>
        <w:tblInd w:w="108" w:type="dxa"/>
        <w:tblLook w:val="04A0" w:firstRow="1" w:lastRow="0" w:firstColumn="1" w:lastColumn="0" w:noHBand="0" w:noVBand="1"/>
      </w:tblPr>
      <w:tblGrid>
        <w:gridCol w:w="8606"/>
        <w:gridCol w:w="1682"/>
        <w:gridCol w:w="1682"/>
      </w:tblGrid>
      <w:tr w:rsidR="000D43C9" w:rsidRPr="000D43C9" w:rsidTr="000D43C9">
        <w:tc>
          <w:tcPr>
            <w:tcW w:w="0" w:type="auto"/>
            <w:tcBorders>
              <w:top w:val="nil"/>
              <w:left w:val="nil"/>
              <w:bottom w:val="single" w:sz="8" w:space="0" w:color="auto"/>
              <w:right w:val="nil"/>
            </w:tcBorders>
            <w:shd w:val="clear" w:color="auto" w:fill="auto"/>
            <w:hideMark/>
          </w:tcPr>
          <w:p w:rsidR="000D43C9" w:rsidRPr="000D43C9" w:rsidRDefault="000D43C9" w:rsidP="000D43C9">
            <w:pPr>
              <w:spacing w:after="0" w:line="240" w:lineRule="auto"/>
              <w:rPr>
                <w:rFonts w:ascii="Verdana" w:eastAsia="Times New Roman" w:hAnsi="Verdana" w:cs="Arial"/>
                <w:i/>
                <w:iCs/>
                <w:sz w:val="18"/>
                <w:szCs w:val="20"/>
                <w:lang w:eastAsia="ru-RU"/>
              </w:rPr>
            </w:pPr>
            <w:r w:rsidRPr="000D43C9">
              <w:rPr>
                <w:rFonts w:ascii="Verdana" w:eastAsia="Times New Roman" w:hAnsi="Verdana" w:cs="Arial"/>
                <w:i/>
                <w:iCs/>
                <w:sz w:val="18"/>
                <w:szCs w:val="20"/>
                <w:lang w:eastAsia="ru-RU"/>
              </w:rPr>
              <w:t>(в тысячах российских рублей)</w:t>
            </w:r>
          </w:p>
        </w:tc>
        <w:tc>
          <w:tcPr>
            <w:tcW w:w="0" w:type="auto"/>
            <w:tcBorders>
              <w:top w:val="nil"/>
              <w:left w:val="nil"/>
              <w:bottom w:val="single" w:sz="8" w:space="0" w:color="auto"/>
              <w:right w:val="nil"/>
            </w:tcBorders>
            <w:shd w:val="clear" w:color="auto" w:fill="auto"/>
            <w:hideMark/>
          </w:tcPr>
          <w:p w:rsidR="000D43C9" w:rsidRPr="000D43C9" w:rsidRDefault="000D43C9" w:rsidP="000D43C9">
            <w:pPr>
              <w:spacing w:after="0" w:line="240" w:lineRule="auto"/>
              <w:rPr>
                <w:rFonts w:ascii="Verdana" w:eastAsia="Times New Roman" w:hAnsi="Verdana" w:cs="Arial"/>
                <w:b/>
                <w:bCs/>
                <w:sz w:val="18"/>
                <w:szCs w:val="20"/>
                <w:lang w:eastAsia="ru-RU"/>
              </w:rPr>
            </w:pPr>
            <w:r w:rsidRPr="000D43C9">
              <w:rPr>
                <w:rFonts w:ascii="Verdana" w:eastAsia="Times New Roman" w:hAnsi="Verdana" w:cs="Arial"/>
                <w:b/>
                <w:bCs/>
                <w:sz w:val="18"/>
                <w:szCs w:val="20"/>
                <w:lang w:eastAsia="ru-RU"/>
              </w:rPr>
              <w:t>на 01.04.2018</w:t>
            </w:r>
          </w:p>
        </w:tc>
        <w:tc>
          <w:tcPr>
            <w:tcW w:w="0" w:type="auto"/>
            <w:tcBorders>
              <w:top w:val="nil"/>
              <w:left w:val="nil"/>
              <w:bottom w:val="single" w:sz="8" w:space="0" w:color="auto"/>
              <w:right w:val="nil"/>
            </w:tcBorders>
            <w:shd w:val="clear" w:color="auto" w:fill="auto"/>
            <w:hideMark/>
          </w:tcPr>
          <w:p w:rsidR="000D43C9" w:rsidRPr="000D43C9" w:rsidRDefault="000D43C9" w:rsidP="000D43C9">
            <w:pPr>
              <w:spacing w:after="0" w:line="240" w:lineRule="auto"/>
              <w:rPr>
                <w:rFonts w:ascii="Verdana" w:eastAsia="Times New Roman" w:hAnsi="Verdana" w:cs="Arial"/>
                <w:b/>
                <w:bCs/>
                <w:sz w:val="18"/>
                <w:szCs w:val="20"/>
                <w:lang w:eastAsia="ru-RU"/>
              </w:rPr>
            </w:pPr>
            <w:r w:rsidRPr="000D43C9">
              <w:rPr>
                <w:rFonts w:ascii="Verdana" w:eastAsia="Times New Roman" w:hAnsi="Verdana" w:cs="Arial"/>
                <w:b/>
                <w:bCs/>
                <w:sz w:val="18"/>
                <w:szCs w:val="20"/>
                <w:lang w:eastAsia="ru-RU"/>
              </w:rPr>
              <w:t>на 01.01.2018</w:t>
            </w:r>
          </w:p>
        </w:tc>
      </w:tr>
      <w:tr w:rsidR="000D43C9" w:rsidRPr="000D43C9" w:rsidTr="000D43C9">
        <w:tc>
          <w:tcPr>
            <w:tcW w:w="0" w:type="auto"/>
            <w:tcBorders>
              <w:top w:val="nil"/>
              <w:left w:val="nil"/>
              <w:bottom w:val="nil"/>
              <w:right w:val="nil"/>
            </w:tcBorders>
            <w:shd w:val="clear" w:color="auto" w:fill="auto"/>
            <w:hideMark/>
          </w:tcPr>
          <w:p w:rsidR="000D43C9" w:rsidRPr="000D43C9" w:rsidRDefault="000D43C9" w:rsidP="000D43C9">
            <w:pPr>
              <w:spacing w:after="0" w:line="240" w:lineRule="auto"/>
              <w:rPr>
                <w:rFonts w:ascii="Verdana" w:eastAsia="Times New Roman" w:hAnsi="Verdana" w:cs="Arial"/>
                <w:b/>
                <w:bCs/>
                <w:sz w:val="18"/>
                <w:szCs w:val="20"/>
                <w:lang w:eastAsia="ru-RU"/>
              </w:rPr>
            </w:pPr>
            <w:bookmarkStart w:id="392" w:name="_Hlk450738709"/>
            <w:r w:rsidRPr="000D43C9">
              <w:rPr>
                <w:rFonts w:ascii="Verdana" w:eastAsia="Times New Roman" w:hAnsi="Verdana" w:cs="Arial"/>
                <w:b/>
                <w:bCs/>
                <w:sz w:val="18"/>
                <w:szCs w:val="20"/>
                <w:lang w:eastAsia="ru-RU"/>
              </w:rPr>
              <w:t>Размер (величина) операционного риска</w:t>
            </w:r>
          </w:p>
        </w:tc>
        <w:tc>
          <w:tcPr>
            <w:tcW w:w="0" w:type="auto"/>
            <w:tcBorders>
              <w:top w:val="nil"/>
              <w:left w:val="nil"/>
              <w:bottom w:val="nil"/>
              <w:right w:val="nil"/>
            </w:tcBorders>
            <w:shd w:val="clear" w:color="auto" w:fill="auto"/>
          </w:tcPr>
          <w:p w:rsidR="000D43C9" w:rsidRPr="000D43C9" w:rsidRDefault="000D43C9" w:rsidP="000D43C9">
            <w:pPr>
              <w:spacing w:after="0" w:line="240" w:lineRule="auto"/>
              <w:rPr>
                <w:rFonts w:ascii="Verdana" w:eastAsia="Times New Roman" w:hAnsi="Verdana" w:cs="Arial"/>
                <w:b/>
                <w:bCs/>
                <w:sz w:val="18"/>
                <w:szCs w:val="20"/>
                <w:lang w:eastAsia="ru-RU"/>
              </w:rPr>
            </w:pPr>
            <w:r w:rsidRPr="000D43C9">
              <w:rPr>
                <w:rFonts w:ascii="Verdana" w:eastAsia="Times New Roman" w:hAnsi="Verdana" w:cs="Arial"/>
                <w:b/>
                <w:bCs/>
                <w:sz w:val="18"/>
                <w:szCs w:val="20"/>
                <w:lang w:eastAsia="ru-RU"/>
              </w:rPr>
              <w:t>3 450</w:t>
            </w:r>
          </w:p>
        </w:tc>
        <w:tc>
          <w:tcPr>
            <w:tcW w:w="0" w:type="auto"/>
            <w:tcBorders>
              <w:top w:val="nil"/>
              <w:left w:val="nil"/>
              <w:bottom w:val="nil"/>
              <w:right w:val="nil"/>
            </w:tcBorders>
            <w:shd w:val="clear" w:color="auto" w:fill="auto"/>
          </w:tcPr>
          <w:p w:rsidR="000D43C9" w:rsidRPr="000D43C9" w:rsidRDefault="000D43C9" w:rsidP="000D43C9">
            <w:pPr>
              <w:spacing w:after="0" w:line="240" w:lineRule="auto"/>
              <w:rPr>
                <w:rFonts w:ascii="Verdana" w:eastAsia="Times New Roman" w:hAnsi="Verdana" w:cs="Arial"/>
                <w:b/>
                <w:bCs/>
                <w:sz w:val="18"/>
                <w:szCs w:val="20"/>
                <w:lang w:eastAsia="ru-RU"/>
              </w:rPr>
            </w:pPr>
            <w:r w:rsidRPr="000D43C9">
              <w:rPr>
                <w:rFonts w:ascii="Verdana" w:eastAsia="Times New Roman" w:hAnsi="Verdana" w:cs="Arial"/>
                <w:b/>
                <w:bCs/>
                <w:sz w:val="18"/>
                <w:szCs w:val="20"/>
                <w:lang w:eastAsia="ru-RU"/>
              </w:rPr>
              <w:t>3 450</w:t>
            </w:r>
          </w:p>
        </w:tc>
      </w:tr>
      <w:tr w:rsidR="000D43C9" w:rsidRPr="000D43C9" w:rsidTr="000D43C9">
        <w:tc>
          <w:tcPr>
            <w:tcW w:w="0" w:type="auto"/>
            <w:tcBorders>
              <w:top w:val="nil"/>
              <w:left w:val="nil"/>
              <w:bottom w:val="nil"/>
              <w:right w:val="nil"/>
            </w:tcBorders>
            <w:shd w:val="clear" w:color="auto" w:fill="auto"/>
            <w:hideMark/>
          </w:tcPr>
          <w:p w:rsidR="000D43C9" w:rsidRPr="000D43C9" w:rsidRDefault="000D43C9" w:rsidP="000D43C9">
            <w:pPr>
              <w:spacing w:after="0" w:line="240" w:lineRule="auto"/>
              <w:rPr>
                <w:rFonts w:ascii="Verdana" w:eastAsia="Times New Roman" w:hAnsi="Verdana" w:cs="Arial"/>
                <w:b/>
                <w:bCs/>
                <w:sz w:val="18"/>
                <w:szCs w:val="20"/>
                <w:lang w:eastAsia="ru-RU"/>
              </w:rPr>
            </w:pPr>
            <w:r w:rsidRPr="000D43C9">
              <w:rPr>
                <w:rFonts w:ascii="Verdana" w:eastAsia="Times New Roman" w:hAnsi="Verdana" w:cs="Arial"/>
                <w:b/>
                <w:bCs/>
                <w:sz w:val="18"/>
                <w:szCs w:val="20"/>
                <w:lang w:eastAsia="ru-RU"/>
              </w:rPr>
              <w:t>Доходы, для целей расчета капитала на покрытие операционного риска, всего:</w:t>
            </w:r>
          </w:p>
        </w:tc>
        <w:tc>
          <w:tcPr>
            <w:tcW w:w="0" w:type="auto"/>
            <w:tcBorders>
              <w:top w:val="nil"/>
              <w:left w:val="nil"/>
              <w:bottom w:val="nil"/>
              <w:right w:val="nil"/>
            </w:tcBorders>
            <w:shd w:val="clear" w:color="auto" w:fill="auto"/>
          </w:tcPr>
          <w:p w:rsidR="000D43C9" w:rsidRPr="000D43C9" w:rsidRDefault="000D43C9" w:rsidP="000D43C9">
            <w:pPr>
              <w:spacing w:after="0" w:line="240" w:lineRule="auto"/>
              <w:rPr>
                <w:rFonts w:ascii="Verdana" w:eastAsia="Times New Roman" w:hAnsi="Verdana" w:cs="Arial"/>
                <w:b/>
                <w:bCs/>
                <w:sz w:val="18"/>
                <w:szCs w:val="20"/>
                <w:lang w:eastAsia="ru-RU"/>
              </w:rPr>
            </w:pPr>
            <w:r w:rsidRPr="000D43C9">
              <w:rPr>
                <w:rFonts w:ascii="Verdana" w:eastAsia="Times New Roman" w:hAnsi="Verdana" w:cs="Arial"/>
                <w:b/>
                <w:bCs/>
                <w:sz w:val="18"/>
                <w:szCs w:val="20"/>
                <w:lang w:eastAsia="ru-RU"/>
              </w:rPr>
              <w:t>23 001</w:t>
            </w:r>
          </w:p>
        </w:tc>
        <w:tc>
          <w:tcPr>
            <w:tcW w:w="0" w:type="auto"/>
            <w:tcBorders>
              <w:top w:val="nil"/>
              <w:left w:val="nil"/>
              <w:bottom w:val="nil"/>
              <w:right w:val="nil"/>
            </w:tcBorders>
            <w:shd w:val="clear" w:color="auto" w:fill="auto"/>
          </w:tcPr>
          <w:p w:rsidR="000D43C9" w:rsidRPr="000D43C9" w:rsidRDefault="000D43C9" w:rsidP="000D43C9">
            <w:pPr>
              <w:spacing w:after="0" w:line="240" w:lineRule="auto"/>
              <w:rPr>
                <w:rFonts w:ascii="Verdana" w:eastAsia="Times New Roman" w:hAnsi="Verdana" w:cs="Arial"/>
                <w:b/>
                <w:bCs/>
                <w:sz w:val="18"/>
                <w:szCs w:val="20"/>
                <w:lang w:eastAsia="ru-RU"/>
              </w:rPr>
            </w:pPr>
            <w:r w:rsidRPr="000D43C9">
              <w:rPr>
                <w:rFonts w:ascii="Verdana" w:eastAsia="Times New Roman" w:hAnsi="Verdana" w:cs="Arial"/>
                <w:b/>
                <w:bCs/>
                <w:sz w:val="18"/>
                <w:szCs w:val="20"/>
                <w:lang w:eastAsia="ru-RU"/>
              </w:rPr>
              <w:t>23 001</w:t>
            </w:r>
          </w:p>
        </w:tc>
      </w:tr>
      <w:tr w:rsidR="000D43C9" w:rsidRPr="000D43C9" w:rsidTr="000D43C9">
        <w:tc>
          <w:tcPr>
            <w:tcW w:w="0" w:type="auto"/>
            <w:tcBorders>
              <w:top w:val="nil"/>
              <w:left w:val="nil"/>
              <w:bottom w:val="nil"/>
              <w:right w:val="nil"/>
            </w:tcBorders>
            <w:shd w:val="clear" w:color="auto" w:fill="auto"/>
            <w:hideMark/>
          </w:tcPr>
          <w:p w:rsidR="000D43C9" w:rsidRPr="000D43C9" w:rsidRDefault="000D43C9" w:rsidP="000D43C9">
            <w:pPr>
              <w:spacing w:after="0" w:line="240" w:lineRule="auto"/>
              <w:rPr>
                <w:rFonts w:ascii="Verdana" w:eastAsia="Times New Roman" w:hAnsi="Verdana" w:cs="Arial"/>
                <w:sz w:val="18"/>
                <w:szCs w:val="20"/>
                <w:lang w:eastAsia="ru-RU"/>
              </w:rPr>
            </w:pPr>
            <w:r w:rsidRPr="000D43C9">
              <w:rPr>
                <w:rFonts w:ascii="Verdana" w:eastAsia="Times New Roman" w:hAnsi="Verdana" w:cs="Arial"/>
                <w:sz w:val="18"/>
                <w:szCs w:val="20"/>
                <w:lang w:eastAsia="ru-RU"/>
              </w:rPr>
              <w:t>- чистые процентные доходы</w:t>
            </w:r>
          </w:p>
        </w:tc>
        <w:tc>
          <w:tcPr>
            <w:tcW w:w="0" w:type="auto"/>
            <w:tcBorders>
              <w:top w:val="nil"/>
              <w:left w:val="nil"/>
              <w:bottom w:val="nil"/>
              <w:right w:val="nil"/>
            </w:tcBorders>
            <w:shd w:val="clear" w:color="auto" w:fill="auto"/>
          </w:tcPr>
          <w:p w:rsidR="000D43C9" w:rsidRPr="000D43C9" w:rsidRDefault="000D43C9" w:rsidP="000D43C9">
            <w:pPr>
              <w:spacing w:after="0" w:line="240" w:lineRule="auto"/>
              <w:rPr>
                <w:rFonts w:ascii="Verdana" w:eastAsia="Times New Roman" w:hAnsi="Verdana" w:cs="Arial"/>
                <w:sz w:val="18"/>
                <w:szCs w:val="20"/>
                <w:lang w:eastAsia="ru-RU"/>
              </w:rPr>
            </w:pPr>
            <w:r w:rsidRPr="000D43C9">
              <w:rPr>
                <w:rFonts w:ascii="Verdana" w:eastAsia="Times New Roman" w:hAnsi="Verdana" w:cs="Arial"/>
                <w:sz w:val="18"/>
                <w:szCs w:val="20"/>
                <w:lang w:eastAsia="ru-RU"/>
              </w:rPr>
              <w:t>0</w:t>
            </w:r>
          </w:p>
        </w:tc>
        <w:tc>
          <w:tcPr>
            <w:tcW w:w="0" w:type="auto"/>
            <w:tcBorders>
              <w:top w:val="nil"/>
              <w:left w:val="nil"/>
              <w:bottom w:val="nil"/>
              <w:right w:val="nil"/>
            </w:tcBorders>
            <w:shd w:val="clear" w:color="auto" w:fill="auto"/>
          </w:tcPr>
          <w:p w:rsidR="000D43C9" w:rsidRPr="000D43C9" w:rsidRDefault="000D43C9" w:rsidP="000D43C9">
            <w:pPr>
              <w:spacing w:after="0" w:line="240" w:lineRule="auto"/>
              <w:rPr>
                <w:rFonts w:ascii="Verdana" w:eastAsia="Times New Roman" w:hAnsi="Verdana" w:cs="Arial"/>
                <w:sz w:val="18"/>
                <w:szCs w:val="20"/>
                <w:lang w:eastAsia="ru-RU"/>
              </w:rPr>
            </w:pPr>
            <w:r w:rsidRPr="000D43C9">
              <w:rPr>
                <w:rFonts w:ascii="Verdana" w:eastAsia="Times New Roman" w:hAnsi="Verdana" w:cs="Arial"/>
                <w:sz w:val="18"/>
                <w:szCs w:val="20"/>
                <w:lang w:eastAsia="ru-RU"/>
              </w:rPr>
              <w:t>0</w:t>
            </w:r>
          </w:p>
        </w:tc>
      </w:tr>
      <w:tr w:rsidR="000D43C9" w:rsidRPr="000D43C9" w:rsidTr="000D43C9">
        <w:tc>
          <w:tcPr>
            <w:tcW w:w="0" w:type="auto"/>
            <w:tcBorders>
              <w:top w:val="nil"/>
              <w:left w:val="nil"/>
              <w:bottom w:val="single" w:sz="8" w:space="0" w:color="auto"/>
              <w:right w:val="nil"/>
            </w:tcBorders>
            <w:shd w:val="clear" w:color="auto" w:fill="auto"/>
            <w:hideMark/>
          </w:tcPr>
          <w:p w:rsidR="000D43C9" w:rsidRPr="000D43C9" w:rsidRDefault="000D43C9" w:rsidP="000D43C9">
            <w:pPr>
              <w:spacing w:after="0" w:line="240" w:lineRule="auto"/>
              <w:rPr>
                <w:rFonts w:ascii="Verdana" w:eastAsia="Times New Roman" w:hAnsi="Verdana" w:cs="Arial"/>
                <w:sz w:val="18"/>
                <w:szCs w:val="20"/>
                <w:lang w:eastAsia="ru-RU"/>
              </w:rPr>
            </w:pPr>
            <w:r w:rsidRPr="000D43C9">
              <w:rPr>
                <w:rFonts w:ascii="Verdana" w:eastAsia="Times New Roman" w:hAnsi="Verdana" w:cs="Arial"/>
                <w:sz w:val="18"/>
                <w:szCs w:val="20"/>
                <w:lang w:eastAsia="ru-RU"/>
              </w:rPr>
              <w:t>- чистые непроцентные доходы</w:t>
            </w:r>
          </w:p>
        </w:tc>
        <w:tc>
          <w:tcPr>
            <w:tcW w:w="0" w:type="auto"/>
            <w:tcBorders>
              <w:top w:val="nil"/>
              <w:left w:val="nil"/>
              <w:bottom w:val="single" w:sz="8" w:space="0" w:color="auto"/>
              <w:right w:val="nil"/>
            </w:tcBorders>
            <w:shd w:val="clear" w:color="auto" w:fill="auto"/>
          </w:tcPr>
          <w:p w:rsidR="000D43C9" w:rsidRPr="000D43C9" w:rsidRDefault="000D43C9" w:rsidP="000D43C9">
            <w:pPr>
              <w:spacing w:after="0" w:line="240" w:lineRule="auto"/>
              <w:rPr>
                <w:rFonts w:ascii="Verdana" w:eastAsia="Times New Roman" w:hAnsi="Verdana" w:cs="Arial"/>
                <w:sz w:val="18"/>
                <w:szCs w:val="20"/>
                <w:lang w:eastAsia="ru-RU"/>
              </w:rPr>
            </w:pPr>
            <w:r w:rsidRPr="000D43C9">
              <w:rPr>
                <w:rFonts w:ascii="Verdana" w:eastAsia="Times New Roman" w:hAnsi="Verdana" w:cs="Arial"/>
                <w:sz w:val="18"/>
                <w:szCs w:val="20"/>
                <w:lang w:eastAsia="ru-RU"/>
              </w:rPr>
              <w:t>23 001</w:t>
            </w:r>
          </w:p>
        </w:tc>
        <w:tc>
          <w:tcPr>
            <w:tcW w:w="0" w:type="auto"/>
            <w:tcBorders>
              <w:top w:val="nil"/>
              <w:left w:val="nil"/>
              <w:bottom w:val="single" w:sz="8" w:space="0" w:color="auto"/>
              <w:right w:val="nil"/>
            </w:tcBorders>
            <w:shd w:val="clear" w:color="auto" w:fill="auto"/>
          </w:tcPr>
          <w:p w:rsidR="000D43C9" w:rsidRPr="000D43C9" w:rsidRDefault="000D43C9" w:rsidP="000D43C9">
            <w:pPr>
              <w:spacing w:after="0" w:line="240" w:lineRule="auto"/>
              <w:rPr>
                <w:rFonts w:ascii="Verdana" w:eastAsia="Times New Roman" w:hAnsi="Verdana" w:cs="Arial"/>
                <w:sz w:val="18"/>
                <w:szCs w:val="20"/>
                <w:lang w:eastAsia="ru-RU"/>
              </w:rPr>
            </w:pPr>
            <w:r w:rsidRPr="000D43C9">
              <w:rPr>
                <w:rFonts w:ascii="Verdana" w:eastAsia="Times New Roman" w:hAnsi="Verdana" w:cs="Arial"/>
                <w:sz w:val="18"/>
                <w:szCs w:val="20"/>
                <w:lang w:eastAsia="ru-RU"/>
              </w:rPr>
              <w:t>23 001</w:t>
            </w:r>
          </w:p>
        </w:tc>
      </w:tr>
    </w:tbl>
    <w:bookmarkEnd w:id="392"/>
    <w:p w:rsidR="000D43C9" w:rsidRPr="000D43C9" w:rsidRDefault="000D43C9" w:rsidP="000D43C9">
      <w:pPr>
        <w:widowControl w:val="0"/>
        <w:spacing w:before="240" w:after="240" w:line="240" w:lineRule="auto"/>
        <w:rPr>
          <w:rFonts w:ascii="Verdana" w:eastAsia="Calibri" w:hAnsi="Verdana" w:cs="Arial"/>
          <w:sz w:val="20"/>
          <w:szCs w:val="20"/>
        </w:rPr>
      </w:pPr>
      <w:r w:rsidRPr="000D43C9">
        <w:rPr>
          <w:rFonts w:ascii="Verdana" w:eastAsia="Calibri" w:hAnsi="Verdana" w:cs="Arial"/>
          <w:sz w:val="20"/>
          <w:szCs w:val="20"/>
        </w:rPr>
        <w:t>Основными методами, применяемыми в НКО для снижения операционного риска, являются:</w:t>
      </w:r>
    </w:p>
    <w:p w:rsidR="000D43C9" w:rsidRPr="000D43C9" w:rsidRDefault="000D43C9" w:rsidP="000D43C9">
      <w:pPr>
        <w:widowControl w:val="0"/>
        <w:numPr>
          <w:ilvl w:val="0"/>
          <w:numId w:val="13"/>
        </w:numPr>
        <w:spacing w:before="120" w:after="120" w:line="240" w:lineRule="auto"/>
        <w:ind w:left="567" w:hanging="567"/>
        <w:rPr>
          <w:rFonts w:ascii="Verdana" w:eastAsia="Calibri" w:hAnsi="Verdana" w:cs="Arial"/>
          <w:sz w:val="20"/>
          <w:szCs w:val="20"/>
        </w:rPr>
      </w:pPr>
      <w:r w:rsidRPr="000D43C9">
        <w:rPr>
          <w:rFonts w:ascii="Verdana" w:eastAsia="Calibri" w:hAnsi="Verdana" w:cs="Arial"/>
          <w:sz w:val="20"/>
          <w:szCs w:val="20"/>
        </w:rPr>
        <w:t>четкое регламентирование правил и процедур совершения банковских операций и других сделок;</w:t>
      </w:r>
    </w:p>
    <w:p w:rsidR="000D43C9" w:rsidRPr="000D43C9" w:rsidRDefault="000D43C9" w:rsidP="000D43C9">
      <w:pPr>
        <w:widowControl w:val="0"/>
        <w:numPr>
          <w:ilvl w:val="0"/>
          <w:numId w:val="13"/>
        </w:numPr>
        <w:spacing w:before="120" w:after="120" w:line="240" w:lineRule="auto"/>
        <w:ind w:left="567" w:hanging="567"/>
        <w:rPr>
          <w:rFonts w:ascii="Verdana" w:eastAsia="Calibri" w:hAnsi="Verdana" w:cs="Arial"/>
          <w:sz w:val="20"/>
          <w:szCs w:val="20"/>
        </w:rPr>
      </w:pPr>
      <w:r w:rsidRPr="000D43C9">
        <w:rPr>
          <w:rFonts w:ascii="Verdana" w:eastAsia="Calibri" w:hAnsi="Verdana" w:cs="Arial"/>
          <w:sz w:val="20"/>
          <w:szCs w:val="20"/>
        </w:rPr>
        <w:t>применение принципов разделения и ограничения функций, полномочий и ответственности сотрудников;</w:t>
      </w:r>
    </w:p>
    <w:p w:rsidR="000D43C9" w:rsidRPr="000D43C9" w:rsidRDefault="000D43C9" w:rsidP="000D43C9">
      <w:pPr>
        <w:widowControl w:val="0"/>
        <w:numPr>
          <w:ilvl w:val="0"/>
          <w:numId w:val="13"/>
        </w:numPr>
        <w:spacing w:before="120" w:after="120" w:line="240" w:lineRule="auto"/>
        <w:ind w:left="567" w:hanging="567"/>
        <w:rPr>
          <w:rFonts w:ascii="Verdana" w:eastAsia="Calibri" w:hAnsi="Verdana" w:cs="Arial"/>
          <w:sz w:val="20"/>
          <w:szCs w:val="20"/>
        </w:rPr>
      </w:pPr>
      <w:r w:rsidRPr="000D43C9">
        <w:rPr>
          <w:rFonts w:ascii="Verdana" w:eastAsia="Calibri" w:hAnsi="Verdana" w:cs="Arial"/>
          <w:sz w:val="20"/>
          <w:szCs w:val="20"/>
        </w:rPr>
        <w:t>принятие коллегиальных решений, установление системы лимитов на отдельные операции;</w:t>
      </w:r>
    </w:p>
    <w:p w:rsidR="000D43C9" w:rsidRPr="000D43C9" w:rsidRDefault="000D43C9" w:rsidP="000D43C9">
      <w:pPr>
        <w:widowControl w:val="0"/>
        <w:numPr>
          <w:ilvl w:val="0"/>
          <w:numId w:val="13"/>
        </w:numPr>
        <w:spacing w:before="120" w:after="120" w:line="240" w:lineRule="auto"/>
        <w:ind w:left="567" w:hanging="567"/>
        <w:rPr>
          <w:rFonts w:ascii="Verdana" w:eastAsia="Calibri" w:hAnsi="Verdana" w:cs="Arial"/>
          <w:sz w:val="20"/>
          <w:szCs w:val="20"/>
        </w:rPr>
      </w:pPr>
      <w:r w:rsidRPr="000D43C9">
        <w:rPr>
          <w:rFonts w:ascii="Verdana" w:eastAsia="Calibri" w:hAnsi="Verdana" w:cs="Arial"/>
          <w:sz w:val="20"/>
          <w:szCs w:val="20"/>
        </w:rPr>
        <w:t>применение процедур внутреннего контроля за организацией бизнес-процессов и соблюдением требований законодательства и внутренних нормативных актов;</w:t>
      </w:r>
    </w:p>
    <w:p w:rsidR="000D43C9" w:rsidRPr="000D43C9" w:rsidRDefault="000D43C9" w:rsidP="000D43C9">
      <w:pPr>
        <w:widowControl w:val="0"/>
        <w:numPr>
          <w:ilvl w:val="0"/>
          <w:numId w:val="13"/>
        </w:numPr>
        <w:spacing w:before="120" w:after="120" w:line="240" w:lineRule="auto"/>
        <w:ind w:left="567" w:hanging="567"/>
        <w:rPr>
          <w:rFonts w:ascii="Verdana" w:eastAsia="Calibri" w:hAnsi="Verdana" w:cs="Arial"/>
          <w:sz w:val="20"/>
          <w:szCs w:val="20"/>
        </w:rPr>
      </w:pPr>
      <w:r w:rsidRPr="000D43C9">
        <w:rPr>
          <w:rFonts w:ascii="Verdana" w:eastAsia="Calibri" w:hAnsi="Verdana" w:cs="Arial"/>
          <w:sz w:val="20"/>
          <w:szCs w:val="20"/>
        </w:rPr>
        <w:t>обеспечение физической и информационной безопасности Банка;</w:t>
      </w:r>
    </w:p>
    <w:p w:rsidR="000D43C9" w:rsidRPr="000D43C9" w:rsidRDefault="000D43C9" w:rsidP="000D43C9">
      <w:pPr>
        <w:widowControl w:val="0"/>
        <w:numPr>
          <w:ilvl w:val="0"/>
          <w:numId w:val="13"/>
        </w:numPr>
        <w:spacing w:before="120" w:after="120" w:line="240" w:lineRule="auto"/>
        <w:ind w:left="567" w:hanging="567"/>
        <w:rPr>
          <w:rFonts w:ascii="Verdana" w:eastAsia="Calibri" w:hAnsi="Verdana" w:cs="Arial"/>
          <w:sz w:val="20"/>
          <w:szCs w:val="20"/>
        </w:rPr>
      </w:pPr>
      <w:r w:rsidRPr="000D43C9">
        <w:rPr>
          <w:rFonts w:ascii="Verdana" w:eastAsia="Calibri" w:hAnsi="Verdana" w:cs="Arial"/>
          <w:sz w:val="20"/>
          <w:szCs w:val="20"/>
        </w:rPr>
        <w:t>обеспечение необходимого уровня квалификации персонала, повышение уровня квалификации персонала;</w:t>
      </w:r>
    </w:p>
    <w:p w:rsidR="000D43C9" w:rsidRPr="000D43C9" w:rsidRDefault="000D43C9" w:rsidP="000D43C9">
      <w:pPr>
        <w:widowControl w:val="0"/>
        <w:numPr>
          <w:ilvl w:val="0"/>
          <w:numId w:val="13"/>
        </w:numPr>
        <w:spacing w:before="120" w:after="120" w:line="240" w:lineRule="auto"/>
        <w:ind w:left="567" w:hanging="567"/>
        <w:rPr>
          <w:rFonts w:ascii="Verdana" w:eastAsia="Calibri" w:hAnsi="Verdana" w:cs="Arial"/>
          <w:sz w:val="20"/>
          <w:szCs w:val="20"/>
        </w:rPr>
      </w:pPr>
      <w:r w:rsidRPr="000D43C9">
        <w:rPr>
          <w:rFonts w:ascii="Verdana" w:eastAsia="Calibri" w:hAnsi="Verdana" w:cs="Arial"/>
          <w:sz w:val="20"/>
          <w:szCs w:val="20"/>
        </w:rPr>
        <w:t>автоматизация банковских процессов и технологий, организация эффективного мониторинга за функционированием IT-систем.</w:t>
      </w:r>
    </w:p>
    <w:p w:rsidR="000D43C9" w:rsidRPr="000D43C9" w:rsidRDefault="000D43C9" w:rsidP="000D43C9">
      <w:pPr>
        <w:widowControl w:val="0"/>
        <w:spacing w:before="120" w:after="120" w:line="240" w:lineRule="auto"/>
        <w:rPr>
          <w:rFonts w:ascii="Verdana" w:eastAsia="Calibri" w:hAnsi="Verdana" w:cs="Arial"/>
          <w:sz w:val="20"/>
          <w:szCs w:val="20"/>
        </w:rPr>
      </w:pPr>
      <w:r w:rsidRPr="000D43C9">
        <w:rPr>
          <w:rFonts w:ascii="Verdana" w:eastAsia="Calibri" w:hAnsi="Verdana" w:cs="Arial"/>
          <w:sz w:val="20"/>
          <w:szCs w:val="20"/>
        </w:rPr>
        <w:t xml:space="preserve">Важнейшие виды операционных рисков связаны с нарушениями установленных процедур и порядков, утвержденных внутренними документами НКО. Эти нарушения могут привести к финансовым потерям, когда допускаются ошибки, либо случаи мошенничества, либо неспособности своевременно учесть изменившиеся под влиянием рыночных тенденций интересы НКО, либо такого влияния на интересы НКО, когда они ставятся под угрозу иным образом, например, когда работники превышают свои полномочия или исполняют свои обязанности с нарушением принятых стандартов деятельности, этических норм либо разумных пределов риска. </w:t>
      </w:r>
    </w:p>
    <w:p w:rsidR="000D43C9" w:rsidRPr="000D43C9" w:rsidRDefault="000D43C9" w:rsidP="000D43C9">
      <w:pPr>
        <w:widowControl w:val="0"/>
        <w:spacing w:before="120" w:after="120" w:line="240" w:lineRule="auto"/>
        <w:rPr>
          <w:rFonts w:ascii="Verdana" w:eastAsia="Calibri" w:hAnsi="Verdana" w:cs="Arial"/>
          <w:sz w:val="20"/>
          <w:szCs w:val="20"/>
        </w:rPr>
      </w:pPr>
      <w:r w:rsidRPr="000D43C9">
        <w:rPr>
          <w:rFonts w:ascii="Verdana" w:eastAsia="Calibri" w:hAnsi="Verdana" w:cs="Arial"/>
          <w:sz w:val="20"/>
          <w:szCs w:val="20"/>
        </w:rPr>
        <w:t>Другие аспекты операционного риска включают существенные сбои в операционной системе.</w:t>
      </w:r>
    </w:p>
    <w:p w:rsidR="000D43C9" w:rsidRPr="000D43C9" w:rsidRDefault="000D43C9" w:rsidP="000D43C9">
      <w:pPr>
        <w:widowControl w:val="0"/>
        <w:spacing w:before="120" w:after="120" w:line="240" w:lineRule="auto"/>
        <w:rPr>
          <w:rFonts w:ascii="Verdana" w:eastAsia="Calibri" w:hAnsi="Verdana" w:cs="Arial"/>
          <w:sz w:val="20"/>
          <w:szCs w:val="20"/>
        </w:rPr>
      </w:pPr>
      <w:r w:rsidRPr="000D43C9">
        <w:rPr>
          <w:rFonts w:ascii="Verdana" w:eastAsia="Calibri" w:hAnsi="Verdana" w:cs="Arial"/>
          <w:sz w:val="20"/>
          <w:szCs w:val="20"/>
        </w:rPr>
        <w:t>В НКО установлены лимиты для того, чтобы свести к минимуму риск и усилить меры контроля, касающиеся отмывания денег и финансирования терроризма.</w:t>
      </w:r>
    </w:p>
    <w:p w:rsidR="000D43C9" w:rsidRPr="000D43C9" w:rsidRDefault="000D43C9" w:rsidP="000D43C9">
      <w:pPr>
        <w:widowControl w:val="0"/>
        <w:spacing w:before="120" w:after="120" w:line="240" w:lineRule="auto"/>
        <w:rPr>
          <w:rFonts w:ascii="Verdana" w:eastAsia="Calibri" w:hAnsi="Verdana" w:cs="Arial"/>
          <w:sz w:val="20"/>
          <w:szCs w:val="20"/>
        </w:rPr>
      </w:pPr>
      <w:r w:rsidRPr="000D43C9">
        <w:rPr>
          <w:rFonts w:ascii="Verdana" w:eastAsia="Calibri" w:hAnsi="Verdana" w:cs="Arial"/>
          <w:sz w:val="20"/>
          <w:szCs w:val="20"/>
        </w:rPr>
        <w:t>Мониторинг операционного риска осуществляется путем регулярного изучения системы показателей деятельности НКО.</w:t>
      </w:r>
    </w:p>
    <w:p w:rsidR="000D43C9" w:rsidRPr="000D43C9" w:rsidRDefault="000D43C9" w:rsidP="000D43C9">
      <w:pPr>
        <w:widowControl w:val="0"/>
        <w:spacing w:before="120" w:after="120" w:line="240" w:lineRule="auto"/>
        <w:rPr>
          <w:rFonts w:ascii="Verdana" w:eastAsia="Calibri" w:hAnsi="Verdana" w:cs="Arial"/>
          <w:sz w:val="20"/>
          <w:szCs w:val="20"/>
        </w:rPr>
      </w:pPr>
      <w:r w:rsidRPr="000D43C9">
        <w:rPr>
          <w:rFonts w:ascii="Verdana" w:eastAsia="Calibri" w:hAnsi="Verdana" w:cs="Arial"/>
          <w:sz w:val="20"/>
          <w:szCs w:val="20"/>
        </w:rPr>
        <w:t>Контроль и минимизация операционного риска осуществляется посредством соблюдения требований, закрепленных во внутренних нормативных документах.</w:t>
      </w:r>
    </w:p>
    <w:p w:rsidR="000D43C9" w:rsidRPr="000D43C9" w:rsidRDefault="000D43C9" w:rsidP="000D43C9">
      <w:pPr>
        <w:widowControl w:val="0"/>
        <w:spacing w:before="120" w:after="120" w:line="240" w:lineRule="auto"/>
        <w:rPr>
          <w:rFonts w:ascii="Verdana" w:eastAsia="Calibri" w:hAnsi="Verdana" w:cs="Arial"/>
          <w:sz w:val="20"/>
          <w:szCs w:val="20"/>
        </w:rPr>
      </w:pPr>
      <w:r w:rsidRPr="000D43C9">
        <w:rPr>
          <w:rFonts w:ascii="Verdana" w:eastAsia="Calibri" w:hAnsi="Verdana" w:cs="Arial"/>
          <w:sz w:val="20"/>
          <w:szCs w:val="20"/>
        </w:rPr>
        <w:t>Уменьшение финансовых последствий операционного риска (вплоть до полного покрытия потенциальных операционных убытков) осуществляется с помощью страхования.  В целях обеспечения безопасности имущества НКО заключены договоры страхования имущества со страховой компанией Открытое акционерное общество Страховая компания «Альянс».</w:t>
      </w:r>
    </w:p>
    <w:p w:rsidR="000D43C9" w:rsidRPr="000D43C9" w:rsidRDefault="000D43C9" w:rsidP="000D43C9">
      <w:pPr>
        <w:keepNext/>
        <w:spacing w:before="240" w:after="240" w:line="240" w:lineRule="auto"/>
        <w:outlineLvl w:val="1"/>
        <w:rPr>
          <w:rFonts w:ascii="Verdana" w:eastAsia="Times New Roman" w:hAnsi="Verdana" w:cs="Arial"/>
          <w:b/>
          <w:sz w:val="20"/>
          <w:szCs w:val="20"/>
          <w:lang w:eastAsia="ru-RU"/>
        </w:rPr>
      </w:pPr>
      <w:bookmarkStart w:id="393" w:name="_Toc506222878"/>
      <w:r w:rsidRPr="000D43C9">
        <w:rPr>
          <w:rFonts w:ascii="Verdana" w:eastAsia="Times New Roman" w:hAnsi="Verdana" w:cs="Arial"/>
          <w:b/>
          <w:sz w:val="20"/>
          <w:szCs w:val="20"/>
          <w:lang w:eastAsia="ru-RU"/>
        </w:rPr>
        <w:t>Риск ликвидности</w:t>
      </w:r>
      <w:bookmarkEnd w:id="391"/>
      <w:bookmarkEnd w:id="393"/>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риск ликвидности – риск убытков вследствие неспособности НКО обеспечить исполнение своих обязательств в полном объеме. Риск ликвидности возникает в результате несбалансированности финансовых активов и финансовых обязательств НКО (в том числе вследствие несвоевременного исполнения финансовых обязательств одним или несколькими контрагентами НКО) и/или возникновения непредвиденной необходимости немедленного и единовременного исполнения НКО своих финансовых обязательств.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Риск ликвидности определяется как риск того, что НКО столкнется с трудностями при выполнении финансовых обязательств.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НКО рассчитывает нормативы ликвидности на ежедневной основе в соответствии с требованиями Центрального банка Российской Федерации.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Риск ликвидности представляет собой риск убытков вследствие неспособности кредитной организации обеспечить исполнение своих обязательств в полном объеме, возникает в результате несбалансированности финансовых активов и финансовых обязательств кредитной организации.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Целью управления ликвидностью является поддержание принимаемого на себя НКО риска на приемлемом уровне, обеспечивающим возможность НКО своевременно и в полном объеме обеспечивать выполнение своих долговых обязательств перед всеми контрагентами, что определяется наличием достаточного собственного капитала НКО, оптимальным размещением и величиной средств по статьям актива и пассива баланса с учетом соответствующих сроков.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Оперативное управление резервами ликвидности осуществляется Заместителем Председателя Правления. В случае недостаточности объема резервов ликвидности, Заместитель Председателя Правления принимает меры по устранению нарушения лимита. Если нарушение лимита невозможно устранить в течение 5 рабочих дней, Заместитель Председателя Правления инициирует рассмотрение соответствующего вопроса на Правлении.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В случае существенных ухудшений текущего или прогнозируемого состояния ликвидности Правление незамедлительно информирует об этом Совет директоров, с указанием причин невыполнения обязательных нормативов и определением мер по доведению показателей как минимум до нормативных значений, вносит обоснованные предложения и рекомендации по восстановлению ликвидности, составляет план мероприятий по восстановлению ликвидности, составляет отчет о проведенных мероприятиях.</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Для оценки и анализа риска потери ликвидности НКО использует следующие методы: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метод коэффициентов (нормативный подход);</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метод анализа разрыва в сроках погашения требований и обязательств с расчетом показателей ликвидности: избыток/дефицит ликвидности, коэффициент избытка/дефицита ликвидности; </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структурный анализ и оценка эффективности управления активами и пассивами;</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прогнозирование потоков денежных средств.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Для ограничения риска ликвидности, приближенного к нормативным значениям ликвидности, в НКО установлены контрольные значения данных показателей:</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Норматив соотношения суммы ликвидных активов сроком исполнения в ближайшие 30 календарных дней к сумме обязательств РНКО (Н15) – не менее 100%</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НКО не планирует привлекать заемные средства, а активы НКО размещаются на корреспондентском счете Центрального банка России и на корреспондентских счетах банков, имеющих высокий инвестиционный рейтинг, поэтому риск потери средств оценивается как минимальный.</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Стресс-тестирование ликвидности представляет собой метод оценки влияния на ликвидность НКО специфических – исключительных, но возможных – событий. Данные события могут быть вызваны изменениями в экономической, политической, социальной, природной и др. средах.</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 По результатам стресс-тестирования определяются: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необходимый уровень резервов ликвидности для поддержания ликвидности НКО в стрессовых ситуациях (п.7.3.1);</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план действий НКО по восстановлению резервов ликв</w:t>
      </w:r>
      <w:r w:rsidR="0042464D">
        <w:rPr>
          <w:rFonts w:ascii="Verdana" w:eastAsia="Times New Roman" w:hAnsi="Verdana" w:cs="Arial"/>
          <w:sz w:val="20"/>
          <w:szCs w:val="20"/>
          <w:lang w:eastAsia="ru-RU"/>
        </w:rPr>
        <w:t>идности в стрессовых ситуациях</w:t>
      </w:r>
      <w:r w:rsidRPr="000D43C9">
        <w:rPr>
          <w:rFonts w:ascii="Verdana" w:eastAsia="Times New Roman" w:hAnsi="Verdana" w:cs="Arial"/>
          <w:sz w:val="20"/>
          <w:szCs w:val="20"/>
          <w:lang w:eastAsia="ru-RU"/>
        </w:rPr>
        <w:t>.</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Процедура стресс-тестирования состоит в последовательной реализации следующих шагов: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1)</w:t>
      </w:r>
      <w:r w:rsidRPr="000D43C9">
        <w:rPr>
          <w:rFonts w:ascii="Verdana" w:eastAsia="Times New Roman" w:hAnsi="Verdana" w:cs="Arial"/>
          <w:sz w:val="20"/>
          <w:szCs w:val="20"/>
          <w:lang w:eastAsia="ru-RU"/>
        </w:rPr>
        <w:tab/>
        <w:t>Разработка стрессовых сценариев.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2)</w:t>
      </w:r>
      <w:r w:rsidRPr="000D43C9">
        <w:rPr>
          <w:rFonts w:ascii="Verdana" w:eastAsia="Times New Roman" w:hAnsi="Verdana" w:cs="Arial"/>
          <w:sz w:val="20"/>
          <w:szCs w:val="20"/>
          <w:lang w:eastAsia="ru-RU"/>
        </w:rPr>
        <w:tab/>
        <w:t>Оценка влияния стрессовых сценариев.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3)</w:t>
      </w:r>
      <w:r w:rsidRPr="000D43C9">
        <w:rPr>
          <w:rFonts w:ascii="Verdana" w:eastAsia="Times New Roman" w:hAnsi="Verdana" w:cs="Arial"/>
          <w:sz w:val="20"/>
          <w:szCs w:val="20"/>
          <w:lang w:eastAsia="ru-RU"/>
        </w:rPr>
        <w:tab/>
        <w:t>Подготовка отчёта о результатах стресс-тестирования.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4)</w:t>
      </w:r>
      <w:r w:rsidRPr="000D43C9">
        <w:rPr>
          <w:rFonts w:ascii="Verdana" w:eastAsia="Times New Roman" w:hAnsi="Verdana" w:cs="Arial"/>
          <w:sz w:val="20"/>
          <w:szCs w:val="20"/>
          <w:lang w:eastAsia="ru-RU"/>
        </w:rPr>
        <w:tab/>
        <w:t>Подготовка плана действий в стрессовых ситуациях.</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Стрессовый сценарий представляет собой совокупность предположений об изменениях факторов риска ликвидности, к которым, в частности, относятся: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сокращение остатков на текущих счетах клиентов;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отток срочных средств клиентов;</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 xml:space="preserve">необходимость денежных выплат по </w:t>
      </w:r>
      <w:proofErr w:type="spellStart"/>
      <w:r w:rsidRPr="000D43C9">
        <w:rPr>
          <w:rFonts w:ascii="Verdana" w:eastAsia="Times New Roman" w:hAnsi="Verdana" w:cs="Arial"/>
          <w:sz w:val="20"/>
          <w:szCs w:val="20"/>
          <w:lang w:eastAsia="ru-RU"/>
        </w:rPr>
        <w:t>внебалансовым</w:t>
      </w:r>
      <w:proofErr w:type="spellEnd"/>
      <w:r w:rsidRPr="000D43C9">
        <w:rPr>
          <w:rFonts w:ascii="Verdana" w:eastAsia="Times New Roman" w:hAnsi="Verdana" w:cs="Arial"/>
          <w:sz w:val="20"/>
          <w:szCs w:val="20"/>
          <w:lang w:eastAsia="ru-RU"/>
        </w:rPr>
        <w:t xml:space="preserve"> обязательствам;</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уровень цен на финансовых рынках;</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прочие факторы.</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Для каждого сценария оцениваются возможности НКО совершать те или иные действия по управлению активами и пассивами.</w:t>
      </w:r>
    </w:p>
    <w:p w:rsidR="000D43C9" w:rsidRPr="000D43C9" w:rsidRDefault="000D43C9" w:rsidP="000D43C9">
      <w:pPr>
        <w:keepNext/>
        <w:keepLines/>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В таблице ниже представлен анализ по ожидаемым срокам до погашения по состоянию на 01.04.2018:</w:t>
      </w:r>
    </w:p>
    <w:tbl>
      <w:tblPr>
        <w:tblStyle w:val="13"/>
        <w:tblW w:w="8897" w:type="dxa"/>
        <w:tblLook w:val="04A0" w:firstRow="1" w:lastRow="0" w:firstColumn="1" w:lastColumn="0" w:noHBand="0" w:noVBand="1"/>
      </w:tblPr>
      <w:tblGrid>
        <w:gridCol w:w="2541"/>
        <w:gridCol w:w="1132"/>
        <w:gridCol w:w="992"/>
        <w:gridCol w:w="992"/>
        <w:gridCol w:w="992"/>
        <w:gridCol w:w="1222"/>
        <w:gridCol w:w="1026"/>
      </w:tblGrid>
      <w:tr w:rsidR="000D43C9" w:rsidRPr="000D43C9" w:rsidTr="000D43C9">
        <w:trPr>
          <w:trHeight w:val="20"/>
        </w:trPr>
        <w:tc>
          <w:tcPr>
            <w:tcW w:w="2541" w:type="dxa"/>
            <w:vAlign w:val="center"/>
            <w:hideMark/>
          </w:tcPr>
          <w:p w:rsidR="000D43C9" w:rsidRPr="000D43C9" w:rsidRDefault="000D43C9" w:rsidP="000D43C9">
            <w:pPr>
              <w:jc w:val="center"/>
              <w:rPr>
                <w:rFonts w:ascii="Verdana" w:eastAsia="Times New Roman" w:hAnsi="Verdana" w:cs="Arial"/>
                <w:i/>
                <w:iCs/>
                <w:sz w:val="16"/>
                <w:szCs w:val="16"/>
                <w:lang w:eastAsia="ru-RU"/>
              </w:rPr>
            </w:pPr>
            <w:r w:rsidRPr="000D43C9">
              <w:rPr>
                <w:rFonts w:ascii="Verdana" w:eastAsia="Times New Roman" w:hAnsi="Verdana" w:cs="Arial"/>
                <w:i/>
                <w:iCs/>
                <w:sz w:val="16"/>
                <w:szCs w:val="16"/>
                <w:lang w:eastAsia="ru-RU"/>
              </w:rPr>
              <w:t xml:space="preserve">В </w:t>
            </w:r>
            <w:proofErr w:type="spellStart"/>
            <w:r w:rsidRPr="000D43C9">
              <w:rPr>
                <w:rFonts w:ascii="Verdana" w:eastAsia="Times New Roman" w:hAnsi="Verdana" w:cs="Arial"/>
                <w:i/>
                <w:iCs/>
                <w:sz w:val="16"/>
                <w:szCs w:val="16"/>
                <w:lang w:eastAsia="ru-RU"/>
              </w:rPr>
              <w:t>тысячах</w:t>
            </w:r>
            <w:proofErr w:type="spellEnd"/>
            <w:r w:rsidRPr="000D43C9">
              <w:rPr>
                <w:rFonts w:ascii="Verdana" w:eastAsia="Times New Roman" w:hAnsi="Verdana" w:cs="Arial"/>
                <w:i/>
                <w:iCs/>
                <w:sz w:val="16"/>
                <w:szCs w:val="16"/>
                <w:lang w:eastAsia="ru-RU"/>
              </w:rPr>
              <w:t xml:space="preserve"> </w:t>
            </w:r>
            <w:proofErr w:type="spellStart"/>
            <w:r w:rsidRPr="000D43C9">
              <w:rPr>
                <w:rFonts w:ascii="Verdana" w:eastAsia="Times New Roman" w:hAnsi="Verdana" w:cs="Arial"/>
                <w:i/>
                <w:iCs/>
                <w:sz w:val="16"/>
                <w:szCs w:val="16"/>
                <w:lang w:eastAsia="ru-RU"/>
              </w:rPr>
              <w:t>российских</w:t>
            </w:r>
            <w:proofErr w:type="spellEnd"/>
            <w:r w:rsidRPr="000D43C9">
              <w:rPr>
                <w:rFonts w:ascii="Verdana" w:eastAsia="Times New Roman" w:hAnsi="Verdana" w:cs="Arial"/>
                <w:i/>
                <w:iCs/>
                <w:sz w:val="16"/>
                <w:szCs w:val="16"/>
                <w:lang w:eastAsia="ru-RU"/>
              </w:rPr>
              <w:t xml:space="preserve"> </w:t>
            </w:r>
            <w:proofErr w:type="spellStart"/>
            <w:r w:rsidRPr="000D43C9">
              <w:rPr>
                <w:rFonts w:ascii="Verdana" w:eastAsia="Times New Roman" w:hAnsi="Verdana" w:cs="Arial"/>
                <w:i/>
                <w:iCs/>
                <w:sz w:val="16"/>
                <w:szCs w:val="16"/>
                <w:lang w:eastAsia="ru-RU"/>
              </w:rPr>
              <w:t>рублей</w:t>
            </w:r>
            <w:proofErr w:type="spellEnd"/>
          </w:p>
        </w:tc>
        <w:tc>
          <w:tcPr>
            <w:tcW w:w="1132" w:type="dxa"/>
            <w:vAlign w:val="center"/>
            <w:hideMark/>
          </w:tcPr>
          <w:p w:rsidR="000D43C9" w:rsidRPr="000D43C9" w:rsidRDefault="000D43C9" w:rsidP="000D43C9">
            <w:pPr>
              <w:jc w:val="center"/>
              <w:rPr>
                <w:rFonts w:ascii="Verdana" w:eastAsia="Times New Roman" w:hAnsi="Verdana" w:cs="Arial"/>
                <w:b/>
                <w:bCs/>
                <w:sz w:val="16"/>
                <w:szCs w:val="16"/>
                <w:lang w:val="ru-RU" w:eastAsia="ru-RU"/>
              </w:rPr>
            </w:pPr>
            <w:r w:rsidRPr="000D43C9">
              <w:rPr>
                <w:rFonts w:ascii="Verdana" w:eastAsia="Times New Roman" w:hAnsi="Verdana" w:cs="Arial"/>
                <w:b/>
                <w:bCs/>
                <w:sz w:val="16"/>
                <w:szCs w:val="16"/>
                <w:lang w:val="ru-RU" w:eastAsia="ru-RU"/>
              </w:rPr>
              <w:t xml:space="preserve">До </w:t>
            </w:r>
            <w:proofErr w:type="spellStart"/>
            <w:r w:rsidRPr="000D43C9">
              <w:rPr>
                <w:rFonts w:ascii="Verdana" w:eastAsia="Times New Roman" w:hAnsi="Verdana" w:cs="Arial"/>
                <w:b/>
                <w:bCs/>
                <w:sz w:val="16"/>
                <w:szCs w:val="16"/>
                <w:lang w:val="ru-RU" w:eastAsia="ru-RU"/>
              </w:rPr>
              <w:t>востребо-вания</w:t>
            </w:r>
            <w:proofErr w:type="spellEnd"/>
            <w:r w:rsidRPr="000D43C9">
              <w:rPr>
                <w:rFonts w:ascii="Verdana" w:eastAsia="Times New Roman" w:hAnsi="Verdana" w:cs="Arial"/>
                <w:b/>
                <w:bCs/>
                <w:sz w:val="16"/>
                <w:szCs w:val="16"/>
                <w:lang w:val="ru-RU" w:eastAsia="ru-RU"/>
              </w:rPr>
              <w:t xml:space="preserve"> и менее 1 месяца</w:t>
            </w:r>
          </w:p>
        </w:tc>
        <w:tc>
          <w:tcPr>
            <w:tcW w:w="992" w:type="dxa"/>
            <w:vAlign w:val="center"/>
            <w:hideMark/>
          </w:tcPr>
          <w:p w:rsidR="000D43C9" w:rsidRPr="000D43C9" w:rsidRDefault="000D43C9" w:rsidP="000D43C9">
            <w:pPr>
              <w:jc w:val="cente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От</w:t>
            </w:r>
            <w:proofErr w:type="spellEnd"/>
            <w:r w:rsidRPr="000D43C9">
              <w:rPr>
                <w:rFonts w:ascii="Verdana" w:eastAsia="Times New Roman" w:hAnsi="Verdana" w:cs="Arial"/>
                <w:b/>
                <w:bCs/>
                <w:sz w:val="16"/>
                <w:szCs w:val="16"/>
                <w:lang w:eastAsia="ru-RU"/>
              </w:rPr>
              <w:t xml:space="preserve"> 1 </w:t>
            </w:r>
            <w:proofErr w:type="spellStart"/>
            <w:r w:rsidRPr="000D43C9">
              <w:rPr>
                <w:rFonts w:ascii="Verdana" w:eastAsia="Times New Roman" w:hAnsi="Verdana" w:cs="Arial"/>
                <w:b/>
                <w:bCs/>
                <w:sz w:val="16"/>
                <w:szCs w:val="16"/>
                <w:lang w:eastAsia="ru-RU"/>
              </w:rPr>
              <w:t>до</w:t>
            </w:r>
            <w:proofErr w:type="spellEnd"/>
            <w:r w:rsidRPr="000D43C9">
              <w:rPr>
                <w:rFonts w:ascii="Verdana" w:eastAsia="Times New Roman" w:hAnsi="Verdana" w:cs="Arial"/>
                <w:b/>
                <w:bCs/>
                <w:sz w:val="16"/>
                <w:szCs w:val="16"/>
                <w:lang w:eastAsia="ru-RU"/>
              </w:rPr>
              <w:t xml:space="preserve"> 6 </w:t>
            </w:r>
            <w:proofErr w:type="spellStart"/>
            <w:r w:rsidRPr="000D43C9">
              <w:rPr>
                <w:rFonts w:ascii="Verdana" w:eastAsia="Times New Roman" w:hAnsi="Verdana" w:cs="Arial"/>
                <w:b/>
                <w:bCs/>
                <w:sz w:val="16"/>
                <w:szCs w:val="16"/>
                <w:lang w:eastAsia="ru-RU"/>
              </w:rPr>
              <w:t>месяцев</w:t>
            </w:r>
            <w:proofErr w:type="spellEnd"/>
          </w:p>
        </w:tc>
        <w:tc>
          <w:tcPr>
            <w:tcW w:w="992" w:type="dxa"/>
            <w:vAlign w:val="center"/>
            <w:hideMark/>
          </w:tcPr>
          <w:p w:rsidR="000D43C9" w:rsidRPr="000D43C9" w:rsidRDefault="000D43C9" w:rsidP="000D43C9">
            <w:pPr>
              <w:jc w:val="cente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От</w:t>
            </w:r>
            <w:proofErr w:type="spellEnd"/>
            <w:r w:rsidRPr="000D43C9">
              <w:rPr>
                <w:rFonts w:ascii="Verdana" w:eastAsia="Times New Roman" w:hAnsi="Verdana" w:cs="Arial"/>
                <w:b/>
                <w:bCs/>
                <w:sz w:val="16"/>
                <w:szCs w:val="16"/>
                <w:lang w:eastAsia="ru-RU"/>
              </w:rPr>
              <w:t xml:space="preserve"> 6 </w:t>
            </w:r>
            <w:proofErr w:type="spellStart"/>
            <w:r w:rsidRPr="000D43C9">
              <w:rPr>
                <w:rFonts w:ascii="Verdana" w:eastAsia="Times New Roman" w:hAnsi="Verdana" w:cs="Arial"/>
                <w:b/>
                <w:bCs/>
                <w:sz w:val="16"/>
                <w:szCs w:val="16"/>
                <w:lang w:eastAsia="ru-RU"/>
              </w:rPr>
              <w:t>до</w:t>
            </w:r>
            <w:proofErr w:type="spellEnd"/>
            <w:r w:rsidRPr="000D43C9">
              <w:rPr>
                <w:rFonts w:ascii="Verdana" w:eastAsia="Times New Roman" w:hAnsi="Verdana" w:cs="Arial"/>
                <w:b/>
                <w:bCs/>
                <w:sz w:val="16"/>
                <w:szCs w:val="16"/>
                <w:lang w:eastAsia="ru-RU"/>
              </w:rPr>
              <w:t xml:space="preserve"> 12 </w:t>
            </w:r>
            <w:proofErr w:type="spellStart"/>
            <w:r w:rsidRPr="000D43C9">
              <w:rPr>
                <w:rFonts w:ascii="Verdana" w:eastAsia="Times New Roman" w:hAnsi="Verdana" w:cs="Arial"/>
                <w:b/>
                <w:bCs/>
                <w:sz w:val="16"/>
                <w:szCs w:val="16"/>
                <w:lang w:eastAsia="ru-RU"/>
              </w:rPr>
              <w:t>месяцев</w:t>
            </w:r>
            <w:proofErr w:type="spellEnd"/>
          </w:p>
        </w:tc>
        <w:tc>
          <w:tcPr>
            <w:tcW w:w="992" w:type="dxa"/>
            <w:vAlign w:val="center"/>
            <w:hideMark/>
          </w:tcPr>
          <w:p w:rsidR="000D43C9" w:rsidRPr="000D43C9" w:rsidRDefault="000D43C9" w:rsidP="000D43C9">
            <w:pPr>
              <w:jc w:val="cente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Свыше</w:t>
            </w:r>
            <w:proofErr w:type="spellEnd"/>
            <w:r w:rsidRPr="000D43C9">
              <w:rPr>
                <w:rFonts w:ascii="Verdana" w:eastAsia="Times New Roman" w:hAnsi="Verdana" w:cs="Arial"/>
                <w:b/>
                <w:bCs/>
                <w:sz w:val="16"/>
                <w:szCs w:val="16"/>
                <w:lang w:eastAsia="ru-RU"/>
              </w:rPr>
              <w:t xml:space="preserve"> 12 </w:t>
            </w:r>
            <w:proofErr w:type="spellStart"/>
            <w:r w:rsidRPr="000D43C9">
              <w:rPr>
                <w:rFonts w:ascii="Verdana" w:eastAsia="Times New Roman" w:hAnsi="Verdana" w:cs="Arial"/>
                <w:b/>
                <w:bCs/>
                <w:sz w:val="16"/>
                <w:szCs w:val="16"/>
                <w:lang w:eastAsia="ru-RU"/>
              </w:rPr>
              <w:t>месяцев</w:t>
            </w:r>
            <w:proofErr w:type="spellEnd"/>
          </w:p>
        </w:tc>
        <w:tc>
          <w:tcPr>
            <w:tcW w:w="1222" w:type="dxa"/>
            <w:vAlign w:val="center"/>
            <w:hideMark/>
          </w:tcPr>
          <w:p w:rsidR="000D43C9" w:rsidRPr="000D43C9" w:rsidRDefault="000D43C9" w:rsidP="000D43C9">
            <w:pPr>
              <w:jc w:val="cente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Срок</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не</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определен</w:t>
            </w:r>
            <w:proofErr w:type="spellEnd"/>
          </w:p>
        </w:tc>
        <w:tc>
          <w:tcPr>
            <w:tcW w:w="1026" w:type="dxa"/>
            <w:vAlign w:val="center"/>
            <w:hideMark/>
          </w:tcPr>
          <w:p w:rsidR="000D43C9" w:rsidRPr="000D43C9" w:rsidRDefault="000D43C9" w:rsidP="000D43C9">
            <w:pPr>
              <w:jc w:val="cente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Итого</w:t>
            </w:r>
            <w:proofErr w:type="spellEnd"/>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eastAsia="ru-RU"/>
              </w:rPr>
            </w:pPr>
            <w:proofErr w:type="spellStart"/>
            <w:r w:rsidRPr="000D43C9">
              <w:rPr>
                <w:rFonts w:ascii="Verdana" w:eastAsia="Times New Roman" w:hAnsi="Verdana" w:cs="Arial"/>
                <w:sz w:val="16"/>
                <w:szCs w:val="16"/>
                <w:lang w:eastAsia="ru-RU"/>
              </w:rPr>
              <w:t>Денежные</w:t>
            </w:r>
            <w:proofErr w:type="spellEnd"/>
            <w:r w:rsidRPr="000D43C9">
              <w:rPr>
                <w:rFonts w:ascii="Verdana" w:eastAsia="Times New Roman" w:hAnsi="Verdana" w:cs="Arial"/>
                <w:sz w:val="16"/>
                <w:szCs w:val="16"/>
                <w:lang w:eastAsia="ru-RU"/>
              </w:rPr>
              <w:t xml:space="preserve"> </w:t>
            </w:r>
            <w:proofErr w:type="spellStart"/>
            <w:r w:rsidRPr="000D43C9">
              <w:rPr>
                <w:rFonts w:ascii="Verdana" w:eastAsia="Times New Roman" w:hAnsi="Verdana" w:cs="Arial"/>
                <w:sz w:val="16"/>
                <w:szCs w:val="16"/>
                <w:lang w:eastAsia="ru-RU"/>
              </w:rPr>
              <w:t>средства</w:t>
            </w:r>
            <w:proofErr w:type="spellEnd"/>
          </w:p>
        </w:tc>
        <w:tc>
          <w:tcPr>
            <w:tcW w:w="113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12 582</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122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1026" w:type="dxa"/>
            <w:vAlign w:val="center"/>
            <w:hideMark/>
          </w:tcPr>
          <w:p w:rsidR="000D43C9" w:rsidRPr="000D43C9" w:rsidRDefault="000D43C9" w:rsidP="000D43C9">
            <w:pPr>
              <w:jc w:val="right"/>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12 582</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val="ru-RU" w:eastAsia="ru-RU"/>
              </w:rPr>
            </w:pPr>
            <w:r w:rsidRPr="000D43C9">
              <w:rPr>
                <w:rFonts w:ascii="Verdana" w:eastAsia="Times New Roman" w:hAnsi="Verdana" w:cs="Arial"/>
                <w:sz w:val="16"/>
                <w:szCs w:val="16"/>
                <w:lang w:val="ru-RU" w:eastAsia="ru-RU"/>
              </w:rPr>
              <w:t>Средства кредитной организации в ЦБ РФ</w:t>
            </w:r>
          </w:p>
        </w:tc>
        <w:tc>
          <w:tcPr>
            <w:tcW w:w="113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125</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122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2</w:t>
            </w:r>
          </w:p>
        </w:tc>
        <w:tc>
          <w:tcPr>
            <w:tcW w:w="1026" w:type="dxa"/>
            <w:vAlign w:val="center"/>
            <w:hideMark/>
          </w:tcPr>
          <w:p w:rsidR="000D43C9" w:rsidRPr="000D43C9" w:rsidRDefault="000D43C9" w:rsidP="000D43C9">
            <w:pPr>
              <w:jc w:val="right"/>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127</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eastAsia="ru-RU"/>
              </w:rPr>
            </w:pPr>
            <w:proofErr w:type="spellStart"/>
            <w:r w:rsidRPr="000D43C9">
              <w:rPr>
                <w:rFonts w:ascii="Verdana" w:eastAsia="Times New Roman" w:hAnsi="Verdana" w:cs="Arial"/>
                <w:sz w:val="16"/>
                <w:szCs w:val="16"/>
                <w:lang w:eastAsia="ru-RU"/>
              </w:rPr>
              <w:t>Средства</w:t>
            </w:r>
            <w:proofErr w:type="spellEnd"/>
            <w:r w:rsidRPr="000D43C9">
              <w:rPr>
                <w:rFonts w:ascii="Verdana" w:eastAsia="Times New Roman" w:hAnsi="Verdana" w:cs="Arial"/>
                <w:sz w:val="16"/>
                <w:szCs w:val="16"/>
                <w:lang w:eastAsia="ru-RU"/>
              </w:rPr>
              <w:t xml:space="preserve">  в </w:t>
            </w:r>
            <w:proofErr w:type="spellStart"/>
            <w:r w:rsidRPr="000D43C9">
              <w:rPr>
                <w:rFonts w:ascii="Verdana" w:eastAsia="Times New Roman" w:hAnsi="Verdana" w:cs="Arial"/>
                <w:sz w:val="16"/>
                <w:szCs w:val="16"/>
                <w:lang w:eastAsia="ru-RU"/>
              </w:rPr>
              <w:t>кредитных</w:t>
            </w:r>
            <w:proofErr w:type="spellEnd"/>
            <w:r w:rsidRPr="000D43C9">
              <w:rPr>
                <w:rFonts w:ascii="Verdana" w:eastAsia="Times New Roman" w:hAnsi="Verdana" w:cs="Arial"/>
                <w:sz w:val="16"/>
                <w:szCs w:val="16"/>
                <w:lang w:eastAsia="ru-RU"/>
              </w:rPr>
              <w:t xml:space="preserve"> </w:t>
            </w:r>
            <w:proofErr w:type="spellStart"/>
            <w:r w:rsidRPr="000D43C9">
              <w:rPr>
                <w:rFonts w:ascii="Verdana" w:eastAsia="Times New Roman" w:hAnsi="Verdana" w:cs="Arial"/>
                <w:sz w:val="16"/>
                <w:szCs w:val="16"/>
                <w:lang w:eastAsia="ru-RU"/>
              </w:rPr>
              <w:t>организациях</w:t>
            </w:r>
            <w:proofErr w:type="spellEnd"/>
          </w:p>
        </w:tc>
        <w:tc>
          <w:tcPr>
            <w:tcW w:w="113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4 322</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122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1026" w:type="dxa"/>
            <w:vAlign w:val="center"/>
            <w:hideMark/>
          </w:tcPr>
          <w:p w:rsidR="000D43C9" w:rsidRPr="000D43C9" w:rsidRDefault="000D43C9" w:rsidP="000D43C9">
            <w:pPr>
              <w:jc w:val="right"/>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4 322</w:t>
            </w:r>
          </w:p>
        </w:tc>
      </w:tr>
      <w:tr w:rsidR="000D43C9" w:rsidRPr="000D43C9" w:rsidTr="000D43C9">
        <w:trPr>
          <w:trHeight w:val="20"/>
        </w:trPr>
        <w:tc>
          <w:tcPr>
            <w:tcW w:w="2541" w:type="dxa"/>
            <w:noWrap/>
            <w:vAlign w:val="center"/>
            <w:hideMark/>
          </w:tcPr>
          <w:p w:rsidR="000D43C9" w:rsidRPr="000D43C9" w:rsidRDefault="000D43C9" w:rsidP="000D43C9">
            <w:pPr>
              <w:rPr>
                <w:rFonts w:ascii="Verdana" w:eastAsia="Times New Roman" w:hAnsi="Verdana" w:cs="Arial"/>
                <w:sz w:val="16"/>
                <w:szCs w:val="16"/>
                <w:lang w:eastAsia="ru-RU"/>
              </w:rPr>
            </w:pPr>
            <w:proofErr w:type="spellStart"/>
            <w:r w:rsidRPr="000D43C9">
              <w:rPr>
                <w:rFonts w:ascii="Verdana" w:eastAsia="Times New Roman" w:hAnsi="Verdana" w:cs="Arial"/>
                <w:sz w:val="16"/>
                <w:szCs w:val="16"/>
                <w:lang w:eastAsia="ru-RU"/>
              </w:rPr>
              <w:t>Чистая</w:t>
            </w:r>
            <w:proofErr w:type="spellEnd"/>
            <w:r w:rsidRPr="000D43C9">
              <w:rPr>
                <w:rFonts w:ascii="Verdana" w:eastAsia="Times New Roman" w:hAnsi="Verdana" w:cs="Arial"/>
                <w:sz w:val="16"/>
                <w:szCs w:val="16"/>
                <w:lang w:eastAsia="ru-RU"/>
              </w:rPr>
              <w:t xml:space="preserve"> </w:t>
            </w:r>
            <w:proofErr w:type="spellStart"/>
            <w:r w:rsidRPr="000D43C9">
              <w:rPr>
                <w:rFonts w:ascii="Verdana" w:eastAsia="Times New Roman" w:hAnsi="Verdana" w:cs="Arial"/>
                <w:sz w:val="16"/>
                <w:szCs w:val="16"/>
                <w:lang w:eastAsia="ru-RU"/>
              </w:rPr>
              <w:t>ссудная</w:t>
            </w:r>
            <w:proofErr w:type="spellEnd"/>
            <w:r w:rsidRPr="000D43C9">
              <w:rPr>
                <w:rFonts w:ascii="Verdana" w:eastAsia="Times New Roman" w:hAnsi="Verdana" w:cs="Arial"/>
                <w:sz w:val="16"/>
                <w:szCs w:val="16"/>
                <w:lang w:eastAsia="ru-RU"/>
              </w:rPr>
              <w:t xml:space="preserve"> </w:t>
            </w:r>
            <w:proofErr w:type="spellStart"/>
            <w:r w:rsidRPr="000D43C9">
              <w:rPr>
                <w:rFonts w:ascii="Verdana" w:eastAsia="Times New Roman" w:hAnsi="Verdana" w:cs="Arial"/>
                <w:sz w:val="16"/>
                <w:szCs w:val="16"/>
                <w:lang w:eastAsia="ru-RU"/>
              </w:rPr>
              <w:t>задолженность</w:t>
            </w:r>
            <w:proofErr w:type="spellEnd"/>
            <w:r w:rsidRPr="000D43C9">
              <w:rPr>
                <w:rFonts w:ascii="Verdana" w:eastAsia="Times New Roman" w:hAnsi="Verdana" w:cs="Arial"/>
                <w:sz w:val="16"/>
                <w:szCs w:val="16"/>
                <w:lang w:eastAsia="ru-RU"/>
              </w:rPr>
              <w:t xml:space="preserve"> </w:t>
            </w:r>
          </w:p>
        </w:tc>
        <w:tc>
          <w:tcPr>
            <w:tcW w:w="113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78 750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11 800</w:t>
            </w:r>
          </w:p>
        </w:tc>
        <w:tc>
          <w:tcPr>
            <w:tcW w:w="122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1026" w:type="dxa"/>
            <w:vAlign w:val="center"/>
            <w:hideMark/>
          </w:tcPr>
          <w:p w:rsidR="000D43C9" w:rsidRPr="000D43C9" w:rsidRDefault="000D43C9" w:rsidP="000D43C9">
            <w:pPr>
              <w:jc w:val="right"/>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90 550</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val="ru-RU" w:eastAsia="ru-RU"/>
              </w:rPr>
            </w:pPr>
            <w:r w:rsidRPr="000D43C9">
              <w:rPr>
                <w:rFonts w:ascii="Verdana" w:eastAsia="Times New Roman" w:hAnsi="Verdana" w:cs="Arial"/>
                <w:sz w:val="16"/>
                <w:szCs w:val="16"/>
                <w:lang w:val="ru-RU" w:eastAsia="ru-RU"/>
              </w:rPr>
              <w:t>Основные средства, нематериальные активы и материальные запасы</w:t>
            </w:r>
          </w:p>
        </w:tc>
        <w:tc>
          <w:tcPr>
            <w:tcW w:w="113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5 563</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51 619</w:t>
            </w:r>
          </w:p>
        </w:tc>
        <w:tc>
          <w:tcPr>
            <w:tcW w:w="122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1026" w:type="dxa"/>
            <w:vAlign w:val="center"/>
            <w:hideMark/>
          </w:tcPr>
          <w:p w:rsidR="000D43C9" w:rsidRPr="000D43C9" w:rsidRDefault="000D43C9" w:rsidP="000D43C9">
            <w:pPr>
              <w:jc w:val="right"/>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57 182</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eastAsia="ru-RU"/>
              </w:rPr>
            </w:pPr>
            <w:proofErr w:type="spellStart"/>
            <w:r w:rsidRPr="000D43C9">
              <w:rPr>
                <w:rFonts w:ascii="Verdana" w:eastAsia="Times New Roman" w:hAnsi="Verdana" w:cs="Arial"/>
                <w:sz w:val="16"/>
                <w:szCs w:val="16"/>
                <w:lang w:eastAsia="ru-RU"/>
              </w:rPr>
              <w:t>Прочие</w:t>
            </w:r>
            <w:proofErr w:type="spellEnd"/>
            <w:r w:rsidRPr="000D43C9">
              <w:rPr>
                <w:rFonts w:ascii="Verdana" w:eastAsia="Times New Roman" w:hAnsi="Verdana" w:cs="Arial"/>
                <w:sz w:val="16"/>
                <w:szCs w:val="16"/>
                <w:lang w:eastAsia="ru-RU"/>
              </w:rPr>
              <w:t xml:space="preserve"> </w:t>
            </w:r>
            <w:proofErr w:type="spellStart"/>
            <w:r w:rsidRPr="000D43C9">
              <w:rPr>
                <w:rFonts w:ascii="Verdana" w:eastAsia="Times New Roman" w:hAnsi="Verdana" w:cs="Arial"/>
                <w:sz w:val="16"/>
                <w:szCs w:val="16"/>
                <w:lang w:eastAsia="ru-RU"/>
              </w:rPr>
              <w:t>активы</w:t>
            </w:r>
            <w:proofErr w:type="spellEnd"/>
          </w:p>
        </w:tc>
        <w:tc>
          <w:tcPr>
            <w:tcW w:w="113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7 341</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122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1026" w:type="dxa"/>
            <w:vAlign w:val="center"/>
            <w:hideMark/>
          </w:tcPr>
          <w:p w:rsidR="000D43C9" w:rsidRPr="000D43C9" w:rsidRDefault="000D43C9" w:rsidP="000D43C9">
            <w:pPr>
              <w:jc w:val="right"/>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7 341</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Всего</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активов</w:t>
            </w:r>
            <w:proofErr w:type="spellEnd"/>
          </w:p>
        </w:tc>
        <w:tc>
          <w:tcPr>
            <w:tcW w:w="113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103 120</w:t>
            </w:r>
          </w:p>
        </w:tc>
        <w:tc>
          <w:tcPr>
            <w:tcW w:w="99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5 563</w:t>
            </w:r>
          </w:p>
        </w:tc>
        <w:tc>
          <w:tcPr>
            <w:tcW w:w="99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63 419</w:t>
            </w:r>
          </w:p>
        </w:tc>
        <w:tc>
          <w:tcPr>
            <w:tcW w:w="122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2</w:t>
            </w:r>
          </w:p>
        </w:tc>
        <w:tc>
          <w:tcPr>
            <w:tcW w:w="1026"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172 104</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eastAsia="ru-RU"/>
              </w:rPr>
            </w:pPr>
            <w:proofErr w:type="spellStart"/>
            <w:r w:rsidRPr="000D43C9">
              <w:rPr>
                <w:rFonts w:ascii="Verdana" w:eastAsia="Times New Roman" w:hAnsi="Verdana" w:cs="Arial"/>
                <w:sz w:val="16"/>
                <w:szCs w:val="16"/>
                <w:lang w:eastAsia="ru-RU"/>
              </w:rPr>
              <w:t>Средства</w:t>
            </w:r>
            <w:proofErr w:type="spellEnd"/>
            <w:r w:rsidRPr="000D43C9">
              <w:rPr>
                <w:rFonts w:ascii="Verdana" w:eastAsia="Times New Roman" w:hAnsi="Verdana" w:cs="Arial"/>
                <w:sz w:val="16"/>
                <w:szCs w:val="16"/>
                <w:lang w:eastAsia="ru-RU"/>
              </w:rPr>
              <w:t xml:space="preserve"> </w:t>
            </w:r>
            <w:proofErr w:type="spellStart"/>
            <w:r w:rsidRPr="000D43C9">
              <w:rPr>
                <w:rFonts w:ascii="Verdana" w:eastAsia="Times New Roman" w:hAnsi="Verdana" w:cs="Arial"/>
                <w:sz w:val="16"/>
                <w:szCs w:val="16"/>
                <w:lang w:eastAsia="ru-RU"/>
              </w:rPr>
              <w:t>клиентов</w:t>
            </w:r>
            <w:proofErr w:type="spellEnd"/>
          </w:p>
        </w:tc>
        <w:tc>
          <w:tcPr>
            <w:tcW w:w="113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6</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122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1026" w:type="dxa"/>
            <w:vAlign w:val="center"/>
            <w:hideMark/>
          </w:tcPr>
          <w:p w:rsidR="000D43C9" w:rsidRPr="000D43C9" w:rsidRDefault="000D43C9" w:rsidP="000D43C9">
            <w:pPr>
              <w:jc w:val="right"/>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6</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sz w:val="16"/>
                <w:szCs w:val="16"/>
                <w:lang w:eastAsia="ru-RU"/>
              </w:rPr>
            </w:pPr>
            <w:proofErr w:type="spellStart"/>
            <w:r w:rsidRPr="000D43C9">
              <w:rPr>
                <w:rFonts w:ascii="Verdana" w:eastAsia="Times New Roman" w:hAnsi="Verdana" w:cs="Arial"/>
                <w:sz w:val="16"/>
                <w:szCs w:val="16"/>
                <w:lang w:eastAsia="ru-RU"/>
              </w:rPr>
              <w:t>Прочие</w:t>
            </w:r>
            <w:proofErr w:type="spellEnd"/>
            <w:r w:rsidRPr="000D43C9">
              <w:rPr>
                <w:rFonts w:ascii="Verdana" w:eastAsia="Times New Roman" w:hAnsi="Verdana" w:cs="Arial"/>
                <w:sz w:val="16"/>
                <w:szCs w:val="16"/>
                <w:lang w:eastAsia="ru-RU"/>
              </w:rPr>
              <w:t xml:space="preserve"> </w:t>
            </w:r>
            <w:proofErr w:type="spellStart"/>
            <w:r w:rsidRPr="000D43C9">
              <w:rPr>
                <w:rFonts w:ascii="Verdana" w:eastAsia="Times New Roman" w:hAnsi="Verdana" w:cs="Arial"/>
                <w:sz w:val="16"/>
                <w:szCs w:val="16"/>
                <w:lang w:eastAsia="ru-RU"/>
              </w:rPr>
              <w:t>обязательства</w:t>
            </w:r>
            <w:proofErr w:type="spellEnd"/>
          </w:p>
        </w:tc>
        <w:tc>
          <w:tcPr>
            <w:tcW w:w="113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4 424</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0</w:t>
            </w:r>
          </w:p>
        </w:tc>
        <w:tc>
          <w:tcPr>
            <w:tcW w:w="1222" w:type="dxa"/>
            <w:vAlign w:val="center"/>
            <w:hideMark/>
          </w:tcPr>
          <w:p w:rsidR="000D43C9" w:rsidRPr="000D43C9" w:rsidRDefault="000D43C9" w:rsidP="000D43C9">
            <w:pPr>
              <w:jc w:val="right"/>
              <w:rPr>
                <w:rFonts w:ascii="Verdana" w:eastAsia="Times New Roman" w:hAnsi="Verdana" w:cs="Arial"/>
                <w:sz w:val="16"/>
                <w:szCs w:val="16"/>
                <w:lang w:eastAsia="ru-RU"/>
              </w:rPr>
            </w:pPr>
            <w:r w:rsidRPr="000D43C9">
              <w:rPr>
                <w:rFonts w:ascii="Verdana" w:eastAsia="Times New Roman" w:hAnsi="Verdana" w:cs="Arial"/>
                <w:sz w:val="16"/>
                <w:szCs w:val="16"/>
                <w:lang w:eastAsia="ru-RU"/>
              </w:rPr>
              <w:t> 0</w:t>
            </w:r>
          </w:p>
        </w:tc>
        <w:tc>
          <w:tcPr>
            <w:tcW w:w="1026" w:type="dxa"/>
            <w:vAlign w:val="center"/>
            <w:hideMark/>
          </w:tcPr>
          <w:p w:rsidR="000D43C9" w:rsidRPr="000D43C9" w:rsidRDefault="000D43C9" w:rsidP="000D43C9">
            <w:pPr>
              <w:jc w:val="right"/>
              <w:rPr>
                <w:rFonts w:ascii="Verdana" w:eastAsia="Times New Roman" w:hAnsi="Verdana" w:cs="Arial"/>
                <w:b/>
                <w:sz w:val="16"/>
                <w:szCs w:val="16"/>
                <w:lang w:eastAsia="ru-RU"/>
              </w:rPr>
            </w:pPr>
            <w:r w:rsidRPr="000D43C9">
              <w:rPr>
                <w:rFonts w:ascii="Verdana" w:eastAsia="Times New Roman" w:hAnsi="Verdana" w:cs="Arial"/>
                <w:b/>
                <w:sz w:val="16"/>
                <w:szCs w:val="16"/>
                <w:lang w:eastAsia="ru-RU"/>
              </w:rPr>
              <w:t>4 424</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Всего</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обязательства</w:t>
            </w:r>
            <w:proofErr w:type="spellEnd"/>
            <w:r w:rsidRPr="000D43C9">
              <w:rPr>
                <w:rFonts w:ascii="Verdana" w:eastAsia="Times New Roman" w:hAnsi="Verdana" w:cs="Arial"/>
                <w:b/>
                <w:bCs/>
                <w:sz w:val="16"/>
                <w:szCs w:val="16"/>
                <w:lang w:eastAsia="ru-RU"/>
              </w:rPr>
              <w:t xml:space="preserve">                           </w:t>
            </w:r>
          </w:p>
        </w:tc>
        <w:tc>
          <w:tcPr>
            <w:tcW w:w="113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4 430</w:t>
            </w:r>
          </w:p>
        </w:tc>
        <w:tc>
          <w:tcPr>
            <w:tcW w:w="99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0</w:t>
            </w:r>
          </w:p>
        </w:tc>
        <w:tc>
          <w:tcPr>
            <w:tcW w:w="122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0</w:t>
            </w:r>
          </w:p>
        </w:tc>
        <w:tc>
          <w:tcPr>
            <w:tcW w:w="1026"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4 430</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Чистый</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разрыв</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ликвидности</w:t>
            </w:r>
            <w:proofErr w:type="spellEnd"/>
          </w:p>
        </w:tc>
        <w:tc>
          <w:tcPr>
            <w:tcW w:w="113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98 690</w:t>
            </w:r>
          </w:p>
        </w:tc>
        <w:tc>
          <w:tcPr>
            <w:tcW w:w="99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5 563</w:t>
            </w:r>
          </w:p>
        </w:tc>
        <w:tc>
          <w:tcPr>
            <w:tcW w:w="99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0</w:t>
            </w:r>
          </w:p>
        </w:tc>
        <w:tc>
          <w:tcPr>
            <w:tcW w:w="99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63 419</w:t>
            </w:r>
          </w:p>
        </w:tc>
        <w:tc>
          <w:tcPr>
            <w:tcW w:w="122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2</w:t>
            </w:r>
          </w:p>
        </w:tc>
        <w:tc>
          <w:tcPr>
            <w:tcW w:w="1026"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167 674</w:t>
            </w:r>
          </w:p>
        </w:tc>
      </w:tr>
      <w:tr w:rsidR="000D43C9" w:rsidRPr="000D43C9" w:rsidTr="000D43C9">
        <w:trPr>
          <w:trHeight w:val="20"/>
        </w:trPr>
        <w:tc>
          <w:tcPr>
            <w:tcW w:w="2541" w:type="dxa"/>
            <w:vAlign w:val="center"/>
            <w:hideMark/>
          </w:tcPr>
          <w:p w:rsidR="000D43C9" w:rsidRPr="000D43C9" w:rsidRDefault="000D43C9" w:rsidP="000D43C9">
            <w:pPr>
              <w:rPr>
                <w:rFonts w:ascii="Verdana" w:eastAsia="Times New Roman" w:hAnsi="Verdana" w:cs="Arial"/>
                <w:b/>
                <w:bCs/>
                <w:sz w:val="16"/>
                <w:szCs w:val="16"/>
                <w:lang w:eastAsia="ru-RU"/>
              </w:rPr>
            </w:pPr>
            <w:proofErr w:type="spellStart"/>
            <w:r w:rsidRPr="000D43C9">
              <w:rPr>
                <w:rFonts w:ascii="Verdana" w:eastAsia="Times New Roman" w:hAnsi="Verdana" w:cs="Arial"/>
                <w:b/>
                <w:bCs/>
                <w:sz w:val="16"/>
                <w:szCs w:val="16"/>
                <w:lang w:eastAsia="ru-RU"/>
              </w:rPr>
              <w:t>Совокупный</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разрыв</w:t>
            </w:r>
            <w:proofErr w:type="spellEnd"/>
            <w:r w:rsidRPr="000D43C9">
              <w:rPr>
                <w:rFonts w:ascii="Verdana" w:eastAsia="Times New Roman" w:hAnsi="Verdana" w:cs="Arial"/>
                <w:b/>
                <w:bCs/>
                <w:sz w:val="16"/>
                <w:szCs w:val="16"/>
                <w:lang w:eastAsia="ru-RU"/>
              </w:rPr>
              <w:t xml:space="preserve"> </w:t>
            </w:r>
            <w:proofErr w:type="spellStart"/>
            <w:r w:rsidRPr="000D43C9">
              <w:rPr>
                <w:rFonts w:ascii="Verdana" w:eastAsia="Times New Roman" w:hAnsi="Verdana" w:cs="Arial"/>
                <w:b/>
                <w:bCs/>
                <w:sz w:val="16"/>
                <w:szCs w:val="16"/>
                <w:lang w:eastAsia="ru-RU"/>
              </w:rPr>
              <w:t>ликвидности</w:t>
            </w:r>
            <w:proofErr w:type="spellEnd"/>
          </w:p>
        </w:tc>
        <w:tc>
          <w:tcPr>
            <w:tcW w:w="113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98 690</w:t>
            </w:r>
          </w:p>
        </w:tc>
        <w:tc>
          <w:tcPr>
            <w:tcW w:w="99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104 253</w:t>
            </w:r>
          </w:p>
        </w:tc>
        <w:tc>
          <w:tcPr>
            <w:tcW w:w="99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104 253</w:t>
            </w:r>
          </w:p>
        </w:tc>
        <w:tc>
          <w:tcPr>
            <w:tcW w:w="99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167 672</w:t>
            </w:r>
          </w:p>
        </w:tc>
        <w:tc>
          <w:tcPr>
            <w:tcW w:w="1222" w:type="dxa"/>
            <w:vAlign w:val="center"/>
            <w:hideMark/>
          </w:tcPr>
          <w:p w:rsidR="000D43C9" w:rsidRPr="000D43C9" w:rsidRDefault="000D43C9" w:rsidP="000D43C9">
            <w:pPr>
              <w:jc w:val="right"/>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167 674</w:t>
            </w:r>
          </w:p>
        </w:tc>
        <w:tc>
          <w:tcPr>
            <w:tcW w:w="1026" w:type="dxa"/>
            <w:vAlign w:val="center"/>
            <w:hideMark/>
          </w:tcPr>
          <w:p w:rsidR="000D43C9" w:rsidRPr="000D43C9" w:rsidRDefault="000D43C9" w:rsidP="000D43C9">
            <w:pPr>
              <w:jc w:val="center"/>
              <w:rPr>
                <w:rFonts w:ascii="Verdana" w:eastAsia="Times New Roman" w:hAnsi="Verdana" w:cs="Arial"/>
                <w:b/>
                <w:bCs/>
                <w:sz w:val="16"/>
                <w:szCs w:val="16"/>
                <w:lang w:eastAsia="ru-RU"/>
              </w:rPr>
            </w:pPr>
            <w:r w:rsidRPr="000D43C9">
              <w:rPr>
                <w:rFonts w:ascii="Verdana" w:eastAsia="Times New Roman" w:hAnsi="Verdana" w:cs="Arial"/>
                <w:b/>
                <w:bCs/>
                <w:sz w:val="16"/>
                <w:szCs w:val="16"/>
                <w:lang w:eastAsia="ru-RU"/>
              </w:rPr>
              <w:t>х</w:t>
            </w:r>
          </w:p>
        </w:tc>
      </w:tr>
    </w:tbl>
    <w:p w:rsidR="000D43C9" w:rsidRPr="000D43C9" w:rsidRDefault="000D43C9" w:rsidP="000D43C9">
      <w:pPr>
        <w:widowControl w:val="0"/>
        <w:spacing w:before="240" w:after="240" w:line="240" w:lineRule="auto"/>
        <w:rPr>
          <w:rFonts w:ascii="Verdana" w:eastAsia="Times New Roman" w:hAnsi="Verdana" w:cs="Arial"/>
          <w:b/>
          <w:sz w:val="20"/>
          <w:szCs w:val="24"/>
          <w:lang w:eastAsia="ru-RU"/>
        </w:rPr>
      </w:pPr>
    </w:p>
    <w:p w:rsidR="000D43C9" w:rsidRPr="000D43C9" w:rsidRDefault="000D43C9" w:rsidP="000D43C9">
      <w:pPr>
        <w:widowControl w:val="0"/>
        <w:spacing w:before="240" w:after="240" w:line="240" w:lineRule="auto"/>
        <w:rPr>
          <w:rFonts w:ascii="Verdana" w:eastAsia="Times New Roman" w:hAnsi="Verdana" w:cs="Arial"/>
          <w:b/>
          <w:sz w:val="20"/>
          <w:szCs w:val="20"/>
          <w:lang w:eastAsia="ru-RU"/>
        </w:rPr>
      </w:pPr>
      <w:r w:rsidRPr="000D43C9">
        <w:rPr>
          <w:rFonts w:ascii="Verdana" w:eastAsia="Times New Roman" w:hAnsi="Verdana" w:cs="Arial"/>
          <w:b/>
          <w:sz w:val="20"/>
          <w:szCs w:val="20"/>
          <w:lang w:eastAsia="ru-RU"/>
        </w:rPr>
        <w:t>Риск потери деловой репутации (</w:t>
      </w:r>
      <w:proofErr w:type="spellStart"/>
      <w:r w:rsidRPr="000D43C9">
        <w:rPr>
          <w:rFonts w:ascii="Verdana" w:eastAsia="Times New Roman" w:hAnsi="Verdana" w:cs="Arial"/>
          <w:b/>
          <w:sz w:val="20"/>
          <w:szCs w:val="20"/>
          <w:lang w:eastAsia="ru-RU"/>
        </w:rPr>
        <w:t>репутационный</w:t>
      </w:r>
      <w:proofErr w:type="spellEnd"/>
      <w:r w:rsidRPr="000D43C9">
        <w:rPr>
          <w:rFonts w:ascii="Verdana" w:eastAsia="Times New Roman" w:hAnsi="Verdana" w:cs="Arial"/>
          <w:b/>
          <w:sz w:val="20"/>
          <w:szCs w:val="20"/>
          <w:lang w:eastAsia="ru-RU"/>
        </w:rPr>
        <w:t xml:space="preserve"> риск).</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риск потери деловой репутации (</w:t>
      </w:r>
      <w:proofErr w:type="spellStart"/>
      <w:r w:rsidRPr="000D43C9">
        <w:rPr>
          <w:rFonts w:ascii="Verdana" w:eastAsia="Times New Roman" w:hAnsi="Verdana" w:cs="Arial"/>
          <w:sz w:val="20"/>
          <w:szCs w:val="20"/>
          <w:lang w:eastAsia="ru-RU"/>
        </w:rPr>
        <w:t>репутационный</w:t>
      </w:r>
      <w:proofErr w:type="spellEnd"/>
      <w:r w:rsidRPr="000D43C9">
        <w:rPr>
          <w:rFonts w:ascii="Verdana" w:eastAsia="Times New Roman" w:hAnsi="Verdana" w:cs="Arial"/>
          <w:sz w:val="20"/>
          <w:szCs w:val="20"/>
          <w:lang w:eastAsia="ru-RU"/>
        </w:rPr>
        <w:t xml:space="preserve"> риск) - риск возникновения у НКО убытков в результате уменьшения числа клиентов/контрагентов вследствие формирования в обществе негативного представления о финансовой устойчивости НКО, качестве оказываемых им услуг или характере деятельности в целом</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В связи с началом операционной деятельности только с августа </w:t>
      </w:r>
      <w:proofErr w:type="gramStart"/>
      <w:r w:rsidRPr="000D43C9">
        <w:rPr>
          <w:rFonts w:ascii="Verdana" w:eastAsia="Times New Roman" w:hAnsi="Verdana" w:cs="Arial"/>
          <w:sz w:val="20"/>
          <w:szCs w:val="20"/>
          <w:lang w:eastAsia="ru-RU"/>
        </w:rPr>
        <w:t>2016  года</w:t>
      </w:r>
      <w:proofErr w:type="gramEnd"/>
      <w:r w:rsidRPr="000D43C9">
        <w:rPr>
          <w:rFonts w:ascii="Verdana" w:eastAsia="Times New Roman" w:hAnsi="Verdana" w:cs="Arial"/>
          <w:sz w:val="20"/>
          <w:szCs w:val="20"/>
          <w:lang w:eastAsia="ru-RU"/>
        </w:rPr>
        <w:t xml:space="preserve"> НКО осуществляет мероприятия для приобретения положительной хорошей деловой репутации, что включает:</w:t>
      </w:r>
      <w:r w:rsidRPr="000D43C9">
        <w:rPr>
          <w:rFonts w:ascii="Verdana" w:eastAsia="Times New Roman" w:hAnsi="Verdana" w:cs="Arial"/>
          <w:sz w:val="20"/>
          <w:szCs w:val="20"/>
          <w:lang w:eastAsia="ru-RU"/>
        </w:rPr>
        <w:tab/>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постоянный контроль за соблюдением законодательства Российской Федерации, в том числе законодательства о банковской тайне и организации внутреннего контроля в целях противодействия легализации (отмыванию) доходов, полученных преступным путем, и финансированию терроризма;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обеспечивает своевременность расчетов по поручению клиентов и контрагентов НКО, а также расчетов по иным сделкам;</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мониторинг деловой репутации акционеров, аффилированных лиц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обеспечивает постоянное повышение квалификации сотрудников НКО;</w:t>
      </w:r>
    </w:p>
    <w:p w:rsidR="000D43C9" w:rsidRPr="000D43C9" w:rsidRDefault="000D43C9" w:rsidP="000D43C9">
      <w:pPr>
        <w:widowControl w:val="0"/>
        <w:numPr>
          <w:ilvl w:val="0"/>
          <w:numId w:val="31"/>
        </w:numPr>
        <w:spacing w:before="240" w:after="240" w:line="240" w:lineRule="auto"/>
        <w:contextualSpacing/>
        <w:rPr>
          <w:rFonts w:ascii="Verdana" w:eastAsia="Times New Roman" w:hAnsi="Verdana" w:cs="Arial"/>
          <w:sz w:val="20"/>
          <w:szCs w:val="20"/>
          <w:lang w:eastAsia="ru-RU"/>
        </w:rPr>
      </w:pPr>
      <w:r w:rsidRPr="000D43C9">
        <w:rPr>
          <w:rFonts w:ascii="Verdana" w:eastAsia="Times New Roman" w:hAnsi="Verdana" w:cs="Arial"/>
          <w:sz w:val="20"/>
          <w:szCs w:val="20"/>
          <w:lang w:eastAsia="ru-RU"/>
        </w:rPr>
        <w:t>максимально доброжелательное отношение к клиентам сотрудников НКО (</w:t>
      </w:r>
      <w:proofErr w:type="spellStart"/>
      <w:r w:rsidRPr="000D43C9">
        <w:rPr>
          <w:rFonts w:ascii="Verdana" w:eastAsia="Times New Roman" w:hAnsi="Verdana" w:cs="Arial"/>
          <w:sz w:val="20"/>
          <w:szCs w:val="20"/>
          <w:lang w:eastAsia="ru-RU"/>
        </w:rPr>
        <w:t>клиентоориентированность</w:t>
      </w:r>
      <w:proofErr w:type="spellEnd"/>
      <w:r w:rsidRPr="000D43C9">
        <w:rPr>
          <w:rFonts w:ascii="Verdana" w:eastAsia="Times New Roman" w:hAnsi="Verdana" w:cs="Arial"/>
          <w:sz w:val="20"/>
          <w:szCs w:val="20"/>
          <w:lang w:eastAsia="ru-RU"/>
        </w:rPr>
        <w:t>);</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w:t>
      </w:r>
      <w:r w:rsidRPr="000D43C9">
        <w:rPr>
          <w:rFonts w:ascii="Verdana" w:eastAsia="Times New Roman" w:hAnsi="Verdana" w:cs="Arial"/>
          <w:sz w:val="20"/>
          <w:szCs w:val="20"/>
          <w:lang w:eastAsia="ru-RU"/>
        </w:rPr>
        <w:tab/>
        <w:t>разработка системы информационного обеспечения, не допускающей использования имеющейся в НКО информации лицами, имеющими доступ к такой информации, в личных интересах и предоставляющей органам управления и служащим информацию о негативных и позитивных отзывах и сообщениях о НКО из средств массовой информации (периодические печатные издания, радио, телевидение, иные формы периодического распространения массовой информации, включая Интернет), иных источников; своевременное рассмотрение, анализ полноты, достоверности и объективности указанной информации; своевременное реагирование на имеющуюся информацию.</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С целью исключения формирования негативного представления о финансовой устойчивости НКО уделяет большое внимание организации полноценной и достоверной системы публичного раскрытия информации в средствах массовой информации и сети Интернет.</w:t>
      </w:r>
    </w:p>
    <w:p w:rsidR="000D43C9" w:rsidRPr="000D43C9" w:rsidRDefault="000D43C9" w:rsidP="000D43C9">
      <w:pPr>
        <w:widowControl w:val="0"/>
        <w:spacing w:before="240" w:after="240" w:line="240" w:lineRule="auto"/>
        <w:rPr>
          <w:rFonts w:ascii="Verdana" w:eastAsia="Times New Roman" w:hAnsi="Verdana" w:cs="Arial"/>
          <w:b/>
          <w:sz w:val="20"/>
          <w:szCs w:val="20"/>
          <w:lang w:eastAsia="ru-RU"/>
        </w:rPr>
      </w:pPr>
      <w:r w:rsidRPr="000D43C9">
        <w:rPr>
          <w:rFonts w:ascii="Verdana" w:eastAsia="Times New Roman" w:hAnsi="Verdana" w:cs="Arial"/>
          <w:b/>
          <w:sz w:val="20"/>
          <w:szCs w:val="20"/>
          <w:lang w:eastAsia="ru-RU"/>
        </w:rPr>
        <w:t>Правовой риск.</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правовой риск (разновидность операционного риска) – риск возникновения у НКО убытков вследствие несоблюдения НКО, контрагентами НКО требований нормативных правовых актов и условий заключенных договоров, допускаемых правовых ошибок при осуществлении деятельности НКО, несовершенства правовой системы</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Данный вид риска является предусмотренной законом или иным нормативным правовым актом прямой или косвенной (вызванной нечеткостью формулировок) возможностью воздействия ограничительного характера со стороны госорганов на бизнес – процессы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НКО осуществляет необходимые мероприятия по управлению и минимизации регуляторных рисков, включая:</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учет событий, связанных с регуляторным риском, определение вероятности их возникновения и количественная оценка возможных последствий;</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мониторинг регуляторного риска, в том числе анализ внедряемых НКО новых банковских продуктов, услуг и планируемых методов их реализации на предмет наличия регуляторного риска;</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координация и участие в разработке комплекса мер, направленных на снижение уровня регуляторного риска в НКО;</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мониторинг эффективности управления регуляторным риском;</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разработка внутренних документов по управлению регуляторным риском;</w:t>
      </w:r>
    </w:p>
    <w:p w:rsidR="000D43C9" w:rsidRPr="000D43C9" w:rsidRDefault="000D43C9" w:rsidP="000D43C9">
      <w:pPr>
        <w:widowControl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информирование сотрудников НКО по вопросам, связанным с управлением регуляторным риском.</w:t>
      </w:r>
    </w:p>
    <w:p w:rsidR="000D43C9" w:rsidRPr="000D43C9" w:rsidRDefault="000D43C9" w:rsidP="000D43C9">
      <w:pPr>
        <w:keepNext/>
        <w:spacing w:before="240" w:after="240" w:line="240" w:lineRule="auto"/>
        <w:outlineLvl w:val="1"/>
        <w:rPr>
          <w:rFonts w:ascii="Verdana" w:eastAsia="Times New Roman" w:hAnsi="Verdana" w:cs="Arial"/>
          <w:b/>
          <w:sz w:val="20"/>
          <w:szCs w:val="20"/>
          <w:lang w:eastAsia="ru-RU"/>
        </w:rPr>
      </w:pPr>
      <w:bookmarkStart w:id="394" w:name="_Toc506222879"/>
      <w:proofErr w:type="spellStart"/>
      <w:r w:rsidRPr="000D43C9">
        <w:rPr>
          <w:rFonts w:ascii="Verdana" w:eastAsia="Times New Roman" w:hAnsi="Verdana" w:cs="Arial"/>
          <w:b/>
          <w:sz w:val="20"/>
          <w:szCs w:val="20"/>
          <w:lang w:eastAsia="ru-RU"/>
        </w:rPr>
        <w:t>Страновой</w:t>
      </w:r>
      <w:proofErr w:type="spellEnd"/>
      <w:r w:rsidRPr="000D43C9">
        <w:rPr>
          <w:rFonts w:ascii="Verdana" w:eastAsia="Times New Roman" w:hAnsi="Verdana" w:cs="Arial"/>
          <w:b/>
          <w:sz w:val="20"/>
          <w:szCs w:val="20"/>
          <w:lang w:eastAsia="ru-RU"/>
        </w:rPr>
        <w:t xml:space="preserve"> риск</w:t>
      </w:r>
      <w:bookmarkEnd w:id="394"/>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proofErr w:type="spellStart"/>
      <w:r w:rsidRPr="000D43C9">
        <w:rPr>
          <w:rFonts w:ascii="Verdana" w:eastAsia="Times New Roman" w:hAnsi="Verdana" w:cs="Arial"/>
          <w:sz w:val="20"/>
          <w:szCs w:val="20"/>
          <w:lang w:eastAsia="ru-RU"/>
        </w:rPr>
        <w:t>Страновой</w:t>
      </w:r>
      <w:proofErr w:type="spellEnd"/>
      <w:r w:rsidRPr="000D43C9">
        <w:rPr>
          <w:rFonts w:ascii="Verdana" w:eastAsia="Times New Roman" w:hAnsi="Verdana" w:cs="Arial"/>
          <w:sz w:val="20"/>
          <w:szCs w:val="20"/>
          <w:lang w:eastAsia="ru-RU"/>
        </w:rPr>
        <w:t xml:space="preserve"> риск - риск возникновения у НКО убытков в результате неисполнения иностранными контрагентами (юридическими, физическими лицами) обязательств из-за экономических, политических, социальных изменений, а также вследствие того, что валюта денежного обязательства может быть недоступна контрагенту из-за особенностей национального законодательства (независимо от финансового положения самого контрагента)</w:t>
      </w:r>
    </w:p>
    <w:p w:rsidR="000D43C9" w:rsidRP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Деятельность НКО осуществляется исключительно на территории Российской Федерации, где НКО зарегистрирована в качестве налогоплательщика, что исключает негативное последствие </w:t>
      </w:r>
      <w:proofErr w:type="spellStart"/>
      <w:r w:rsidRPr="000D43C9">
        <w:rPr>
          <w:rFonts w:ascii="Verdana" w:eastAsia="Times New Roman" w:hAnsi="Verdana" w:cs="Arial"/>
          <w:sz w:val="20"/>
          <w:szCs w:val="20"/>
          <w:lang w:eastAsia="ru-RU"/>
        </w:rPr>
        <w:t>странового</w:t>
      </w:r>
      <w:proofErr w:type="spellEnd"/>
      <w:r w:rsidRPr="000D43C9">
        <w:rPr>
          <w:rFonts w:ascii="Verdana" w:eastAsia="Times New Roman" w:hAnsi="Verdana" w:cs="Arial"/>
          <w:sz w:val="20"/>
          <w:szCs w:val="20"/>
          <w:lang w:eastAsia="ru-RU"/>
        </w:rPr>
        <w:t xml:space="preserve"> риска. В ближайшее время не предполагается осуществлять деятельность за пределами Российской Федерации, а также осуществлять трансграничные переводы. В настоящее время </w:t>
      </w:r>
      <w:proofErr w:type="spellStart"/>
      <w:r w:rsidRPr="000D43C9">
        <w:rPr>
          <w:rFonts w:ascii="Verdana" w:eastAsia="Times New Roman" w:hAnsi="Verdana" w:cs="Arial"/>
          <w:sz w:val="20"/>
          <w:szCs w:val="20"/>
          <w:lang w:eastAsia="ru-RU"/>
        </w:rPr>
        <w:t>страновой</w:t>
      </w:r>
      <w:proofErr w:type="spellEnd"/>
      <w:r w:rsidRPr="000D43C9">
        <w:rPr>
          <w:rFonts w:ascii="Verdana" w:eastAsia="Times New Roman" w:hAnsi="Verdana" w:cs="Arial"/>
          <w:sz w:val="20"/>
          <w:szCs w:val="20"/>
          <w:lang w:eastAsia="ru-RU"/>
        </w:rPr>
        <w:t xml:space="preserve"> риск отсутствует.</w:t>
      </w:r>
    </w:p>
    <w:p w:rsidR="000D43C9" w:rsidRPr="000D43C9" w:rsidRDefault="000D43C9" w:rsidP="000D43C9">
      <w:pPr>
        <w:keepNext/>
        <w:spacing w:before="240" w:after="240" w:line="240" w:lineRule="auto"/>
        <w:outlineLvl w:val="1"/>
        <w:rPr>
          <w:rFonts w:ascii="Verdana" w:eastAsia="Times New Roman" w:hAnsi="Verdana" w:cs="Arial"/>
          <w:b/>
          <w:sz w:val="20"/>
          <w:szCs w:val="20"/>
          <w:lang w:eastAsia="ru-RU"/>
        </w:rPr>
      </w:pPr>
      <w:bookmarkStart w:id="395" w:name="_Toc506222880"/>
      <w:r w:rsidRPr="000D43C9">
        <w:rPr>
          <w:rFonts w:ascii="Verdana" w:eastAsia="Times New Roman" w:hAnsi="Verdana" w:cs="Arial"/>
          <w:b/>
          <w:sz w:val="20"/>
          <w:szCs w:val="20"/>
          <w:lang w:eastAsia="ru-RU"/>
        </w:rPr>
        <w:t>Стратегический риск</w:t>
      </w:r>
      <w:bookmarkEnd w:id="395"/>
    </w:p>
    <w:p w:rsidR="000D43C9" w:rsidRDefault="000D43C9"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r w:rsidRPr="000D43C9">
        <w:rPr>
          <w:rFonts w:ascii="Verdana" w:eastAsia="Times New Roman" w:hAnsi="Verdana" w:cs="Arial"/>
          <w:sz w:val="20"/>
          <w:szCs w:val="20"/>
          <w:lang w:eastAsia="ru-RU"/>
        </w:rPr>
        <w:t xml:space="preserve">Стратегический риск - риск возникновения у НКО убытков в результате ошибок/ недостатков, допущенных при принятии решений, определяющих стратегию деятельности и развития НКО (стратегическое управление) и выражающихся в </w:t>
      </w:r>
      <w:proofErr w:type="spellStart"/>
      <w:r w:rsidRPr="000D43C9">
        <w:rPr>
          <w:rFonts w:ascii="Verdana" w:eastAsia="Times New Roman" w:hAnsi="Verdana" w:cs="Arial"/>
          <w:sz w:val="20"/>
          <w:szCs w:val="20"/>
          <w:lang w:eastAsia="ru-RU"/>
        </w:rPr>
        <w:t>неучете</w:t>
      </w:r>
      <w:proofErr w:type="spellEnd"/>
      <w:r w:rsidRPr="000D43C9">
        <w:rPr>
          <w:rFonts w:ascii="Verdana" w:eastAsia="Times New Roman" w:hAnsi="Verdana" w:cs="Arial"/>
          <w:sz w:val="20"/>
          <w:szCs w:val="20"/>
          <w:lang w:eastAsia="ru-RU"/>
        </w:rPr>
        <w:t xml:space="preserve"> или недостаточном учете возможных опасностей, которые могут угрожать деятельности НКО, неправильном или недостаточно обоснованном определении перспективных направлений деятельности, в которых НКО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НКО;</w:t>
      </w:r>
    </w:p>
    <w:p w:rsidR="00EB2E30" w:rsidRDefault="00EB2E30" w:rsidP="00EB2E30">
      <w:pPr>
        <w:widowControl w:val="0"/>
        <w:autoSpaceDE w:val="0"/>
        <w:autoSpaceDN w:val="0"/>
        <w:adjustRightInd w:val="0"/>
        <w:spacing w:before="240" w:after="240" w:line="240" w:lineRule="auto"/>
        <w:rPr>
          <w:rFonts w:ascii="Verdana" w:eastAsia="Times New Roman" w:hAnsi="Verdana" w:cs="Arial"/>
          <w:sz w:val="20"/>
          <w:szCs w:val="20"/>
          <w:lang w:eastAsia="ru-RU"/>
        </w:rPr>
      </w:pPr>
      <w:r>
        <w:rPr>
          <w:rFonts w:ascii="Verdana" w:eastAsia="Times New Roman" w:hAnsi="Verdana" w:cs="Arial"/>
          <w:sz w:val="20"/>
          <w:szCs w:val="20"/>
          <w:lang w:eastAsia="ru-RU"/>
        </w:rPr>
        <w:t>В соответствии с требованиями Указания Банка России от 07 августа 2017 года №4482-У «О Форме и порядке раскрытия кредитной организацией (головной кредитной организацией банковской группы) информации о принимаемых рисках, процедурах их оценки, управления рисками и капиталом ООО НКО «</w:t>
      </w:r>
      <w:proofErr w:type="spellStart"/>
      <w:r>
        <w:rPr>
          <w:rFonts w:ascii="Verdana" w:eastAsia="Times New Roman" w:hAnsi="Verdana" w:cs="Arial"/>
          <w:sz w:val="20"/>
          <w:szCs w:val="20"/>
          <w:lang w:eastAsia="ru-RU"/>
        </w:rPr>
        <w:t>Глобал</w:t>
      </w:r>
      <w:proofErr w:type="spellEnd"/>
      <w:r>
        <w:rPr>
          <w:rFonts w:ascii="Verdana" w:eastAsia="Times New Roman" w:hAnsi="Verdana" w:cs="Arial"/>
          <w:sz w:val="20"/>
          <w:szCs w:val="20"/>
          <w:lang w:eastAsia="ru-RU"/>
        </w:rPr>
        <w:t xml:space="preserve"> </w:t>
      </w:r>
      <w:proofErr w:type="spellStart"/>
      <w:r>
        <w:rPr>
          <w:rFonts w:ascii="Verdana" w:eastAsia="Times New Roman" w:hAnsi="Verdana" w:cs="Arial"/>
          <w:sz w:val="20"/>
          <w:szCs w:val="20"/>
          <w:lang w:eastAsia="ru-RU"/>
        </w:rPr>
        <w:t>Эксчейндж</w:t>
      </w:r>
      <w:proofErr w:type="spellEnd"/>
      <w:r>
        <w:rPr>
          <w:rFonts w:ascii="Verdana" w:eastAsia="Times New Roman" w:hAnsi="Verdana" w:cs="Arial"/>
          <w:sz w:val="20"/>
          <w:szCs w:val="20"/>
          <w:lang w:eastAsia="ru-RU"/>
        </w:rPr>
        <w:t xml:space="preserve">» сообщает, что НКО принято решение о раскрытии информации о рисках на индивидуальной основе в форме отдельной информации путем размещения в сети Интернет на сайте НКО по адресу </w:t>
      </w:r>
      <w:r w:rsidRPr="00EB2E30">
        <w:rPr>
          <w:rFonts w:ascii="Verdana" w:eastAsia="Times New Roman" w:hAnsi="Verdana" w:cs="Arial"/>
          <w:sz w:val="20"/>
          <w:szCs w:val="20"/>
          <w:lang w:eastAsia="ru-RU"/>
        </w:rPr>
        <w:t>http://www.global-exchange.ru/</w:t>
      </w:r>
      <w:r>
        <w:rPr>
          <w:rFonts w:ascii="Verdana" w:eastAsia="Times New Roman" w:hAnsi="Verdana" w:cs="Arial"/>
          <w:sz w:val="20"/>
          <w:szCs w:val="20"/>
          <w:lang w:eastAsia="ru-RU"/>
        </w:rPr>
        <w:t>.</w:t>
      </w:r>
    </w:p>
    <w:p w:rsidR="00EB2E30" w:rsidRPr="000D43C9" w:rsidRDefault="00EB2E30" w:rsidP="000D43C9">
      <w:pPr>
        <w:widowControl w:val="0"/>
        <w:autoSpaceDE w:val="0"/>
        <w:autoSpaceDN w:val="0"/>
        <w:adjustRightInd w:val="0"/>
        <w:spacing w:before="240" w:after="240" w:line="240" w:lineRule="auto"/>
        <w:rPr>
          <w:rFonts w:ascii="Verdana" w:eastAsia="Times New Roman" w:hAnsi="Verdana" w:cs="Arial"/>
          <w:sz w:val="20"/>
          <w:szCs w:val="20"/>
          <w:lang w:eastAsia="ru-RU"/>
        </w:rPr>
      </w:pPr>
    </w:p>
    <w:p w:rsidR="000D43C9" w:rsidRPr="000D43C9" w:rsidRDefault="000D43C9" w:rsidP="000D43C9">
      <w:pPr>
        <w:spacing w:after="0" w:line="240" w:lineRule="auto"/>
        <w:rPr>
          <w:rFonts w:ascii="Verdana" w:eastAsia="Times New Roman" w:hAnsi="Verdana" w:cs="Times New Roman"/>
          <w:sz w:val="24"/>
          <w:szCs w:val="24"/>
          <w:lang w:eastAsia="ru-RU"/>
        </w:rPr>
      </w:pPr>
      <w:bookmarkStart w:id="396" w:name="_Toc419451148"/>
      <w:bookmarkStart w:id="397" w:name="_Toc419454229"/>
      <w:bookmarkStart w:id="398" w:name="_Toc419451150"/>
      <w:bookmarkStart w:id="399" w:name="_Toc419454231"/>
      <w:bookmarkStart w:id="400" w:name="_Toc419451152"/>
      <w:bookmarkStart w:id="401" w:name="_Toc419454233"/>
      <w:bookmarkStart w:id="402" w:name="_Toc414743111"/>
      <w:bookmarkStart w:id="403" w:name="_Toc414743155"/>
      <w:bookmarkStart w:id="404" w:name="_Toc414743226"/>
      <w:bookmarkStart w:id="405" w:name="_Toc414743368"/>
      <w:bookmarkStart w:id="406" w:name="_Toc414761114"/>
      <w:bookmarkStart w:id="407" w:name="_Операции_со_связанными"/>
      <w:bookmarkEnd w:id="396"/>
      <w:bookmarkEnd w:id="397"/>
      <w:bookmarkEnd w:id="398"/>
      <w:bookmarkEnd w:id="399"/>
      <w:bookmarkEnd w:id="400"/>
      <w:bookmarkEnd w:id="401"/>
      <w:bookmarkEnd w:id="402"/>
      <w:bookmarkEnd w:id="403"/>
      <w:bookmarkEnd w:id="404"/>
      <w:bookmarkEnd w:id="405"/>
      <w:bookmarkEnd w:id="406"/>
      <w:bookmarkEnd w:id="407"/>
    </w:p>
    <w:p w:rsidR="000D43C9" w:rsidRPr="000D43C9" w:rsidRDefault="000D43C9" w:rsidP="000D43C9">
      <w:pPr>
        <w:spacing w:after="0" w:line="240" w:lineRule="auto"/>
        <w:rPr>
          <w:rFonts w:ascii="Verdana" w:eastAsia="Calibri" w:hAnsi="Verdana" w:cs="Arial"/>
          <w:sz w:val="20"/>
          <w:szCs w:val="20"/>
        </w:rPr>
      </w:pPr>
    </w:p>
    <w:p w:rsidR="000D43C9" w:rsidRPr="000D43C9" w:rsidRDefault="000D43C9" w:rsidP="000D43C9">
      <w:pPr>
        <w:tabs>
          <w:tab w:val="left" w:pos="5529"/>
        </w:tabs>
        <w:spacing w:after="0" w:line="240" w:lineRule="auto"/>
        <w:rPr>
          <w:rFonts w:ascii="Verdana" w:eastAsia="Calibri" w:hAnsi="Verdana" w:cs="Arial"/>
          <w:sz w:val="20"/>
          <w:szCs w:val="20"/>
        </w:rPr>
      </w:pPr>
      <w:proofErr w:type="spellStart"/>
      <w:r w:rsidRPr="000D43C9">
        <w:rPr>
          <w:rFonts w:ascii="Verdana" w:eastAsia="Calibri" w:hAnsi="Verdana" w:cs="Arial"/>
          <w:sz w:val="20"/>
          <w:szCs w:val="20"/>
        </w:rPr>
        <w:t>Вр.и.о</w:t>
      </w:r>
      <w:proofErr w:type="spellEnd"/>
      <w:r w:rsidRPr="000D43C9">
        <w:rPr>
          <w:rFonts w:ascii="Verdana" w:eastAsia="Calibri" w:hAnsi="Verdana" w:cs="Arial"/>
          <w:sz w:val="20"/>
          <w:szCs w:val="20"/>
        </w:rPr>
        <w:t>. Председателя Правления</w:t>
      </w:r>
      <w:r w:rsidRPr="000D43C9">
        <w:rPr>
          <w:rFonts w:ascii="Verdana" w:eastAsia="Calibri" w:hAnsi="Verdana" w:cs="Arial"/>
          <w:sz w:val="20"/>
          <w:szCs w:val="20"/>
        </w:rPr>
        <w:tab/>
      </w:r>
      <w:proofErr w:type="spellStart"/>
      <w:r w:rsidRPr="000D43C9">
        <w:rPr>
          <w:rFonts w:ascii="Verdana" w:eastAsia="Calibri" w:hAnsi="Verdana" w:cs="Arial"/>
          <w:sz w:val="20"/>
          <w:szCs w:val="20"/>
        </w:rPr>
        <w:t>Топалиди</w:t>
      </w:r>
      <w:proofErr w:type="spellEnd"/>
      <w:r w:rsidRPr="000D43C9">
        <w:rPr>
          <w:rFonts w:ascii="Verdana" w:eastAsia="Calibri" w:hAnsi="Verdana" w:cs="Arial"/>
          <w:sz w:val="20"/>
          <w:szCs w:val="20"/>
        </w:rPr>
        <w:t xml:space="preserve"> Ольга Валерьевна</w:t>
      </w:r>
    </w:p>
    <w:p w:rsidR="000D43C9" w:rsidRPr="000D43C9" w:rsidRDefault="000D43C9" w:rsidP="000D43C9">
      <w:pPr>
        <w:tabs>
          <w:tab w:val="left" w:pos="5529"/>
        </w:tabs>
        <w:spacing w:after="0" w:line="240" w:lineRule="auto"/>
        <w:rPr>
          <w:rFonts w:ascii="Verdana" w:eastAsia="Calibri" w:hAnsi="Verdana" w:cs="Arial"/>
          <w:sz w:val="20"/>
          <w:szCs w:val="20"/>
        </w:rPr>
      </w:pPr>
    </w:p>
    <w:p w:rsidR="000D43C9" w:rsidRPr="000D43C9" w:rsidRDefault="000D43C9" w:rsidP="000D43C9">
      <w:pPr>
        <w:tabs>
          <w:tab w:val="left" w:pos="5529"/>
        </w:tabs>
        <w:spacing w:after="0" w:line="240" w:lineRule="auto"/>
        <w:rPr>
          <w:rFonts w:ascii="Verdana" w:eastAsia="Calibri" w:hAnsi="Verdana" w:cs="Arial"/>
          <w:sz w:val="20"/>
          <w:szCs w:val="20"/>
        </w:rPr>
      </w:pPr>
    </w:p>
    <w:p w:rsidR="000D43C9" w:rsidRPr="000D43C9" w:rsidRDefault="000D43C9" w:rsidP="000D43C9">
      <w:pPr>
        <w:spacing w:after="0" w:line="240" w:lineRule="auto"/>
        <w:rPr>
          <w:rFonts w:ascii="Verdana" w:eastAsia="Calibri" w:hAnsi="Verdana" w:cs="Arial"/>
          <w:sz w:val="20"/>
          <w:szCs w:val="20"/>
        </w:rPr>
      </w:pPr>
    </w:p>
    <w:p w:rsidR="000D43C9" w:rsidRPr="000D43C9" w:rsidRDefault="000D43C9" w:rsidP="000D43C9">
      <w:pPr>
        <w:widowControl w:val="0"/>
        <w:tabs>
          <w:tab w:val="left" w:pos="5529"/>
        </w:tabs>
        <w:autoSpaceDE w:val="0"/>
        <w:autoSpaceDN w:val="0"/>
        <w:adjustRightInd w:val="0"/>
        <w:spacing w:before="240" w:after="240" w:line="240" w:lineRule="auto"/>
        <w:rPr>
          <w:rFonts w:ascii="Verdana" w:eastAsia="Calibri" w:hAnsi="Verdana" w:cs="Arial"/>
          <w:sz w:val="20"/>
          <w:szCs w:val="20"/>
        </w:rPr>
      </w:pPr>
      <w:r w:rsidRPr="000D43C9">
        <w:rPr>
          <w:rFonts w:ascii="Verdana" w:eastAsia="Calibri" w:hAnsi="Verdana" w:cs="Arial"/>
          <w:sz w:val="20"/>
          <w:szCs w:val="20"/>
        </w:rPr>
        <w:t>Главный бухгалтер</w:t>
      </w:r>
      <w:r w:rsidRPr="000D43C9">
        <w:rPr>
          <w:rFonts w:ascii="Verdana" w:eastAsia="Calibri" w:hAnsi="Verdana" w:cs="Arial"/>
          <w:sz w:val="20"/>
          <w:szCs w:val="20"/>
        </w:rPr>
        <w:tab/>
        <w:t>Мосина Марина Алексеевна</w:t>
      </w:r>
    </w:p>
    <w:p w:rsidR="000D43C9" w:rsidRPr="000D43C9" w:rsidRDefault="000D43C9" w:rsidP="000D43C9">
      <w:pPr>
        <w:widowControl w:val="0"/>
        <w:autoSpaceDE w:val="0"/>
        <w:autoSpaceDN w:val="0"/>
        <w:adjustRightInd w:val="0"/>
        <w:spacing w:before="240" w:after="240" w:line="240" w:lineRule="auto"/>
        <w:rPr>
          <w:rFonts w:ascii="Verdana" w:eastAsia="Calibri" w:hAnsi="Verdana" w:cs="Arial"/>
          <w:sz w:val="20"/>
          <w:szCs w:val="20"/>
        </w:rPr>
      </w:pPr>
    </w:p>
    <w:p w:rsidR="000D43C9" w:rsidRPr="000D43C9" w:rsidRDefault="000D43C9" w:rsidP="000D43C9">
      <w:pPr>
        <w:spacing w:after="0" w:line="240" w:lineRule="auto"/>
        <w:rPr>
          <w:rFonts w:ascii="Verdana" w:eastAsia="Times New Roman" w:hAnsi="Verdana" w:cs="Times New Roman"/>
          <w:sz w:val="24"/>
          <w:szCs w:val="24"/>
          <w:lang w:eastAsia="ru-RU"/>
        </w:rPr>
      </w:pPr>
    </w:p>
    <w:p w:rsidR="000D43C9" w:rsidRPr="000D43C9" w:rsidRDefault="000D43C9" w:rsidP="000D43C9">
      <w:pPr>
        <w:spacing w:after="0" w:line="240" w:lineRule="auto"/>
        <w:rPr>
          <w:rFonts w:ascii="Times New Roman" w:eastAsia="Times New Roman" w:hAnsi="Times New Roman" w:cs="Times New Roman"/>
          <w:sz w:val="24"/>
          <w:szCs w:val="24"/>
          <w:lang w:eastAsia="ru-RU"/>
        </w:rPr>
      </w:pPr>
    </w:p>
    <w:p w:rsidR="00B85DE8" w:rsidRDefault="00777781">
      <w:r w:rsidRPr="00777781">
        <w:rPr>
          <w:noProof/>
          <w:lang w:eastAsia="ru-RU"/>
        </w:rPr>
        <w:drawing>
          <wp:inline distT="0" distB="0" distL="0" distR="0">
            <wp:extent cx="5941695" cy="8464881"/>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695" cy="8464881"/>
                    </a:xfrm>
                    <a:prstGeom prst="rect">
                      <a:avLst/>
                    </a:prstGeom>
                    <a:noFill/>
                    <a:ln>
                      <a:noFill/>
                    </a:ln>
                  </pic:spPr>
                </pic:pic>
              </a:graphicData>
            </a:graphic>
          </wp:inline>
        </w:drawing>
      </w:r>
    </w:p>
    <w:sectPr w:rsidR="00B85DE8" w:rsidSect="00E4498B">
      <w:footerReference w:type="default" r:id="rId8"/>
      <w:pgSz w:w="16838" w:h="11906" w:orient="landscape" w:code="9"/>
      <w:pgMar w:top="1699" w:right="1022" w:bottom="850" w:left="1022" w:header="562"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B5B" w:rsidRDefault="00413B5B">
      <w:pPr>
        <w:spacing w:after="0" w:line="240" w:lineRule="auto"/>
      </w:pPr>
      <w:r>
        <w:separator/>
      </w:r>
    </w:p>
  </w:endnote>
  <w:endnote w:type="continuationSeparator" w:id="0">
    <w:p w:rsidR="00413B5B" w:rsidRDefault="0041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Consultant">
    <w:altName w:val="Courier New"/>
    <w:panose1 w:val="00000000000000000000"/>
    <w:charset w:val="00"/>
    <w:family w:val="modern"/>
    <w:notTrueType/>
    <w:pitch w:val="fixed"/>
    <w:sig w:usb0="00000003" w:usb1="00000000" w:usb2="00000000" w:usb3="00000000" w:csb0="00000001" w:csb1="00000000"/>
  </w:font>
  <w:font w:name="Arial,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3C9" w:rsidRPr="00233974" w:rsidRDefault="000D43C9" w:rsidP="000D43C9">
    <w:pPr>
      <w:pStyle w:val="af1"/>
      <w:tabs>
        <w:tab w:val="left" w:pos="375"/>
      </w:tabs>
      <w:jc w:val="right"/>
      <w:rPr>
        <w:rFonts w:ascii="Arial" w:hAnsi="Arial" w:cs="Arial"/>
        <w:sz w:val="18"/>
      </w:rPr>
    </w:pPr>
    <w:r w:rsidRPr="00233974">
      <w:rPr>
        <w:rFonts w:ascii="Arial" w:hAnsi="Arial" w:cs="Arial"/>
        <w:sz w:val="18"/>
      </w:rPr>
      <w:fldChar w:fldCharType="begin"/>
    </w:r>
    <w:r w:rsidRPr="00233974">
      <w:rPr>
        <w:rFonts w:ascii="Arial" w:hAnsi="Arial" w:cs="Arial"/>
        <w:sz w:val="18"/>
      </w:rPr>
      <w:instrText xml:space="preserve"> PAGE   \* MERGEFORMAT </w:instrText>
    </w:r>
    <w:r w:rsidRPr="00233974">
      <w:rPr>
        <w:rFonts w:ascii="Arial" w:hAnsi="Arial" w:cs="Arial"/>
        <w:sz w:val="18"/>
      </w:rPr>
      <w:fldChar w:fldCharType="separate"/>
    </w:r>
    <w:r w:rsidR="00422B9F">
      <w:rPr>
        <w:rFonts w:ascii="Arial" w:hAnsi="Arial" w:cs="Arial"/>
        <w:noProof/>
        <w:sz w:val="18"/>
      </w:rPr>
      <w:t>36</w:t>
    </w:r>
    <w:r w:rsidRPr="00233974">
      <w:rPr>
        <w:rFonts w:ascii="Arial" w:hAnsi="Arial" w:cs="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B5B" w:rsidRDefault="00413B5B">
      <w:pPr>
        <w:spacing w:after="0" w:line="240" w:lineRule="auto"/>
      </w:pPr>
      <w:r>
        <w:separator/>
      </w:r>
    </w:p>
  </w:footnote>
  <w:footnote w:type="continuationSeparator" w:id="0">
    <w:p w:rsidR="00413B5B" w:rsidRDefault="00413B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64BA"/>
    <w:multiLevelType w:val="hybridMultilevel"/>
    <w:tmpl w:val="23B2B55A"/>
    <w:lvl w:ilvl="0" w:tplc="E23CC550">
      <w:start w:val="1"/>
      <w:numFmt w:val="lowerLetter"/>
      <w:lvlText w:val="%1."/>
      <w:lvlJc w:val="left"/>
      <w:pPr>
        <w:ind w:left="11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0A6192"/>
    <w:multiLevelType w:val="multilevel"/>
    <w:tmpl w:val="CFE285A0"/>
    <w:lvl w:ilvl="0">
      <w:start w:val="13"/>
      <w:numFmt w:val="decimal"/>
      <w:lvlText w:val="%1"/>
      <w:lvlJc w:val="left"/>
      <w:pPr>
        <w:ind w:left="375" w:hanging="375"/>
      </w:pPr>
      <w:rPr>
        <w:rFonts w:eastAsia="Calibri" w:hint="default"/>
        <w:i w:val="0"/>
      </w:rPr>
    </w:lvl>
    <w:lvl w:ilvl="1">
      <w:start w:val="6"/>
      <w:numFmt w:val="decimal"/>
      <w:lvlText w:val="%1.%2"/>
      <w:lvlJc w:val="left"/>
      <w:pPr>
        <w:ind w:left="375" w:hanging="375"/>
      </w:pPr>
      <w:rPr>
        <w:rFonts w:eastAsia="Calibri" w:hint="default"/>
        <w:i w:val="0"/>
      </w:rPr>
    </w:lvl>
    <w:lvl w:ilvl="2">
      <w:start w:val="1"/>
      <w:numFmt w:val="decimal"/>
      <w:lvlText w:val="%1.%2.%3"/>
      <w:lvlJc w:val="left"/>
      <w:pPr>
        <w:ind w:left="720" w:hanging="720"/>
      </w:pPr>
      <w:rPr>
        <w:rFonts w:eastAsia="Calibri" w:hint="default"/>
        <w:i w:val="0"/>
      </w:rPr>
    </w:lvl>
    <w:lvl w:ilvl="3">
      <w:start w:val="1"/>
      <w:numFmt w:val="decimal"/>
      <w:lvlText w:val="%1.%2.%3.%4"/>
      <w:lvlJc w:val="left"/>
      <w:pPr>
        <w:ind w:left="720" w:hanging="720"/>
      </w:pPr>
      <w:rPr>
        <w:rFonts w:eastAsia="Calibri" w:hint="default"/>
        <w:i w:val="0"/>
      </w:rPr>
    </w:lvl>
    <w:lvl w:ilvl="4">
      <w:start w:val="1"/>
      <w:numFmt w:val="decimal"/>
      <w:lvlText w:val="%1.%2.%3.%4.%5"/>
      <w:lvlJc w:val="left"/>
      <w:pPr>
        <w:ind w:left="1080" w:hanging="1080"/>
      </w:pPr>
      <w:rPr>
        <w:rFonts w:eastAsia="Calibri" w:hint="default"/>
        <w:i w:val="0"/>
      </w:rPr>
    </w:lvl>
    <w:lvl w:ilvl="5">
      <w:start w:val="1"/>
      <w:numFmt w:val="decimal"/>
      <w:lvlText w:val="%1.%2.%3.%4.%5.%6"/>
      <w:lvlJc w:val="left"/>
      <w:pPr>
        <w:ind w:left="1080" w:hanging="1080"/>
      </w:pPr>
      <w:rPr>
        <w:rFonts w:eastAsia="Calibri" w:hint="default"/>
        <w:i w:val="0"/>
      </w:rPr>
    </w:lvl>
    <w:lvl w:ilvl="6">
      <w:start w:val="1"/>
      <w:numFmt w:val="decimal"/>
      <w:lvlText w:val="%1.%2.%3.%4.%5.%6.%7"/>
      <w:lvlJc w:val="left"/>
      <w:pPr>
        <w:ind w:left="1440" w:hanging="1440"/>
      </w:pPr>
      <w:rPr>
        <w:rFonts w:eastAsia="Calibri" w:hint="default"/>
        <w:i w:val="0"/>
      </w:rPr>
    </w:lvl>
    <w:lvl w:ilvl="7">
      <w:start w:val="1"/>
      <w:numFmt w:val="decimal"/>
      <w:lvlText w:val="%1.%2.%3.%4.%5.%6.%7.%8"/>
      <w:lvlJc w:val="left"/>
      <w:pPr>
        <w:ind w:left="1440" w:hanging="1440"/>
      </w:pPr>
      <w:rPr>
        <w:rFonts w:eastAsia="Calibri" w:hint="default"/>
        <w:i w:val="0"/>
      </w:rPr>
    </w:lvl>
    <w:lvl w:ilvl="8">
      <w:start w:val="1"/>
      <w:numFmt w:val="decimal"/>
      <w:lvlText w:val="%1.%2.%3.%4.%5.%6.%7.%8.%9"/>
      <w:lvlJc w:val="left"/>
      <w:pPr>
        <w:ind w:left="1800" w:hanging="1800"/>
      </w:pPr>
      <w:rPr>
        <w:rFonts w:eastAsia="Calibri" w:hint="default"/>
        <w:i w:val="0"/>
      </w:rPr>
    </w:lvl>
  </w:abstractNum>
  <w:abstractNum w:abstractNumId="2" w15:restartNumberingAfterBreak="0">
    <w:nsid w:val="065525C5"/>
    <w:multiLevelType w:val="multilevel"/>
    <w:tmpl w:val="FFFFFFFF"/>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3" w15:restartNumberingAfterBreak="0">
    <w:nsid w:val="0ABE4BBF"/>
    <w:multiLevelType w:val="hybridMultilevel"/>
    <w:tmpl w:val="213EAD66"/>
    <w:lvl w:ilvl="0" w:tplc="85E4DD2E">
      <w:start w:val="1"/>
      <w:numFmt w:val="bullet"/>
      <w:lvlRestart w:val="0"/>
      <w:lvlText w:val=""/>
      <w:lvlJc w:val="left"/>
      <w:pPr>
        <w:ind w:left="2770" w:hanging="360"/>
      </w:pPr>
      <w:rPr>
        <w:rFonts w:ascii="Symbol" w:hAnsi="Symbol"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4" w15:restartNumberingAfterBreak="0">
    <w:nsid w:val="0C81604A"/>
    <w:multiLevelType w:val="hybridMultilevel"/>
    <w:tmpl w:val="E592A22C"/>
    <w:lvl w:ilvl="0" w:tplc="AA4C9D8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90854"/>
    <w:multiLevelType w:val="hybridMultilevel"/>
    <w:tmpl w:val="6A7C9E5A"/>
    <w:lvl w:ilvl="0" w:tplc="9B688EE8">
      <w:start w:val="1"/>
      <w:numFmt w:val="decimal"/>
      <w:lvlText w:val="%1."/>
      <w:lvlJc w:val="left"/>
      <w:pPr>
        <w:ind w:left="720" w:hanging="360"/>
      </w:pPr>
      <w:rPr>
        <w:rFonts w:ascii="Cambria" w:hAnsi="Cambria" w:hint="default"/>
        <w:sz w:val="20"/>
      </w:rPr>
    </w:lvl>
    <w:lvl w:ilvl="1" w:tplc="67906CB2">
      <w:start w:val="1"/>
      <w:numFmt w:val="decimal"/>
      <w:lvlText w:val="5.%2"/>
      <w:lvlJc w:val="left"/>
      <w:pPr>
        <w:ind w:left="1440" w:hanging="360"/>
      </w:pPr>
      <w:rPr>
        <w:rFonts w:ascii="Arial" w:hAnsi="Arial" w:cs="Arial" w:hint="default"/>
        <w:sz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9710E7"/>
    <w:multiLevelType w:val="multilevel"/>
    <w:tmpl w:val="34F6331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1F35717"/>
    <w:multiLevelType w:val="multilevel"/>
    <w:tmpl w:val="FFFFFFFF"/>
    <w:lvl w:ilvl="0">
      <w:start w:val="1"/>
      <w:numFmt w:val="decimal"/>
      <w:lvlText w:val="%1."/>
      <w:lvlJc w:val="left"/>
      <w:pPr>
        <w:ind w:left="720" w:firstLine="360"/>
      </w:pPr>
      <w:rPr>
        <w:rFonts w:ascii="Times New Roman" w:eastAsia="Times New Roman" w:hAnsi="Times New Roman" w:cs="Times New Roman"/>
      </w:rPr>
    </w:lvl>
    <w:lvl w:ilvl="1">
      <w:start w:val="1"/>
      <w:numFmt w:val="decimal"/>
      <w:lvlText w:val="%2."/>
      <w:lvlJc w:val="left"/>
      <w:pPr>
        <w:ind w:left="-360" w:firstLine="360"/>
      </w:pPr>
      <w:rPr>
        <w:rFonts w:ascii="Times New Roman" w:eastAsia="Times New Roman" w:hAnsi="Times New Roman" w:cs="Times New Roman"/>
      </w:rPr>
    </w:lvl>
    <w:lvl w:ilvl="2">
      <w:start w:val="1"/>
      <w:numFmt w:val="decimal"/>
      <w:lvlText w:val="%1.%2.%3."/>
      <w:lvlJc w:val="left"/>
      <w:pPr>
        <w:ind w:left="1080" w:firstLine="360"/>
      </w:pPr>
      <w:rPr>
        <w:rFonts w:cs="Times New Roman"/>
      </w:rPr>
    </w:lvl>
    <w:lvl w:ilvl="3">
      <w:start w:val="1"/>
      <w:numFmt w:val="decimal"/>
      <w:lvlText w:val="%1.%2.%3.%4."/>
      <w:lvlJc w:val="left"/>
      <w:pPr>
        <w:ind w:left="1080" w:firstLine="360"/>
      </w:pPr>
      <w:rPr>
        <w:rFonts w:cs="Times New Roman"/>
      </w:rPr>
    </w:lvl>
    <w:lvl w:ilvl="4">
      <w:start w:val="1"/>
      <w:numFmt w:val="decimal"/>
      <w:lvlText w:val="%1.%2.%3.%4.%5."/>
      <w:lvlJc w:val="left"/>
      <w:pPr>
        <w:ind w:left="1440" w:firstLine="360"/>
      </w:pPr>
      <w:rPr>
        <w:rFonts w:cs="Times New Roman"/>
      </w:rPr>
    </w:lvl>
    <w:lvl w:ilvl="5">
      <w:start w:val="1"/>
      <w:numFmt w:val="decimal"/>
      <w:lvlText w:val="%1.%2.%3.%4.%5.%6."/>
      <w:lvlJc w:val="left"/>
      <w:pPr>
        <w:ind w:left="1440" w:firstLine="360"/>
      </w:pPr>
      <w:rPr>
        <w:rFonts w:cs="Times New Roman"/>
      </w:rPr>
    </w:lvl>
    <w:lvl w:ilvl="6">
      <w:start w:val="1"/>
      <w:numFmt w:val="decimal"/>
      <w:lvlText w:val="%1.%2.%3.%4.%5.%6.%7."/>
      <w:lvlJc w:val="left"/>
      <w:pPr>
        <w:ind w:left="1800" w:firstLine="360"/>
      </w:pPr>
      <w:rPr>
        <w:rFonts w:cs="Times New Roman"/>
      </w:rPr>
    </w:lvl>
    <w:lvl w:ilvl="7">
      <w:start w:val="1"/>
      <w:numFmt w:val="decimal"/>
      <w:lvlText w:val="%1.%2.%3.%4.%5.%6.%7.%8."/>
      <w:lvlJc w:val="left"/>
      <w:pPr>
        <w:ind w:left="1800" w:firstLine="360"/>
      </w:pPr>
      <w:rPr>
        <w:rFonts w:cs="Times New Roman"/>
      </w:rPr>
    </w:lvl>
    <w:lvl w:ilvl="8">
      <w:start w:val="1"/>
      <w:numFmt w:val="decimal"/>
      <w:lvlText w:val="%1.%2.%3.%4.%5.%6.%7.%8.%9."/>
      <w:lvlJc w:val="left"/>
      <w:pPr>
        <w:ind w:left="2160" w:firstLine="360"/>
      </w:pPr>
      <w:rPr>
        <w:rFonts w:cs="Times New Roman"/>
      </w:rPr>
    </w:lvl>
  </w:abstractNum>
  <w:abstractNum w:abstractNumId="8" w15:restartNumberingAfterBreak="0">
    <w:nsid w:val="15E52D9C"/>
    <w:multiLevelType w:val="singleLevel"/>
    <w:tmpl w:val="D25E0B12"/>
    <w:lvl w:ilvl="0">
      <w:start w:val="1"/>
      <w:numFmt w:val="decimal"/>
      <w:pStyle w:val="Report"/>
      <w:lvlText w:val="%1"/>
      <w:lvlJc w:val="left"/>
      <w:pPr>
        <w:tabs>
          <w:tab w:val="num" w:pos="-4"/>
        </w:tabs>
        <w:ind w:left="-4" w:hanging="705"/>
      </w:pPr>
      <w:rPr>
        <w:b w:val="0"/>
        <w:bCs w:val="0"/>
        <w:i w:val="0"/>
        <w:iCs w:val="0"/>
        <w:color w:val="000000"/>
      </w:rPr>
    </w:lvl>
  </w:abstractNum>
  <w:abstractNum w:abstractNumId="9" w15:restartNumberingAfterBreak="0">
    <w:nsid w:val="166146B8"/>
    <w:multiLevelType w:val="hybridMultilevel"/>
    <w:tmpl w:val="78E8B9F0"/>
    <w:lvl w:ilvl="0" w:tplc="85E4DD2E">
      <w:start w:val="1"/>
      <w:numFmt w:val="bullet"/>
      <w:lvlRestart w:val="0"/>
      <w:lvlText w:val=""/>
      <w:lvlJc w:val="left"/>
      <w:pPr>
        <w:ind w:left="2770" w:hanging="360"/>
      </w:pPr>
      <w:rPr>
        <w:rFonts w:ascii="Symbol" w:hAnsi="Symbol"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10" w15:restartNumberingAfterBreak="0">
    <w:nsid w:val="16EB737F"/>
    <w:multiLevelType w:val="hybridMultilevel"/>
    <w:tmpl w:val="635A0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BA74A5"/>
    <w:multiLevelType w:val="hybridMultilevel"/>
    <w:tmpl w:val="7F401CDC"/>
    <w:lvl w:ilvl="0" w:tplc="BF4443CC">
      <w:start w:val="1"/>
      <w:numFmt w:val="bullet"/>
      <w:lvlRestart w:val="0"/>
      <w:lvlText w:val=""/>
      <w:lvlJc w:val="left"/>
      <w:pPr>
        <w:ind w:left="2770" w:hanging="360"/>
      </w:pPr>
      <w:rPr>
        <w:rFonts w:ascii="Symbol" w:hAnsi="Symbol"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12" w15:restartNumberingAfterBreak="0">
    <w:nsid w:val="2478458E"/>
    <w:multiLevelType w:val="multilevel"/>
    <w:tmpl w:val="4CE2E8FC"/>
    <w:lvl w:ilvl="0">
      <w:start w:val="1"/>
      <w:numFmt w:val="bullet"/>
      <w:lvlText w:val=""/>
      <w:lvlJc w:val="left"/>
      <w:pPr>
        <w:ind w:left="720" w:firstLine="360"/>
      </w:pPr>
      <w:rPr>
        <w:rFonts w:ascii="Wingdings" w:hAnsi="Wingdings" w:hint="default"/>
        <w:sz w:val="20"/>
      </w:rPr>
    </w:lvl>
    <w:lvl w:ilvl="1">
      <w:start w:val="1"/>
      <w:numFmt w:val="bullet"/>
      <w:lvlText w:val="o"/>
      <w:lvlJc w:val="left"/>
      <w:pPr>
        <w:ind w:left="1440" w:firstLine="1080"/>
      </w:pPr>
      <w:rPr>
        <w:rFonts w:ascii="Arial" w:eastAsia="Times New Roman" w:hAnsi="Arial"/>
        <w:sz w:val="20"/>
      </w:rPr>
    </w:lvl>
    <w:lvl w:ilvl="2">
      <w:start w:val="1"/>
      <w:numFmt w:val="bullet"/>
      <w:lvlText w:val="▪"/>
      <w:lvlJc w:val="left"/>
      <w:pPr>
        <w:ind w:left="2160" w:firstLine="1800"/>
      </w:pPr>
      <w:rPr>
        <w:rFonts w:ascii="Arial" w:eastAsia="Times New Roman" w:hAnsi="Arial"/>
        <w:sz w:val="20"/>
      </w:rPr>
    </w:lvl>
    <w:lvl w:ilvl="3">
      <w:start w:val="1"/>
      <w:numFmt w:val="bullet"/>
      <w:lvlText w:val="▪"/>
      <w:lvlJc w:val="left"/>
      <w:pPr>
        <w:ind w:left="2880" w:firstLine="2520"/>
      </w:pPr>
      <w:rPr>
        <w:rFonts w:ascii="Arial" w:eastAsia="Times New Roman" w:hAnsi="Arial"/>
        <w:sz w:val="20"/>
      </w:rPr>
    </w:lvl>
    <w:lvl w:ilvl="4">
      <w:start w:val="1"/>
      <w:numFmt w:val="bullet"/>
      <w:lvlText w:val="▪"/>
      <w:lvlJc w:val="left"/>
      <w:pPr>
        <w:ind w:left="3600" w:firstLine="3240"/>
      </w:pPr>
      <w:rPr>
        <w:rFonts w:ascii="Arial" w:eastAsia="Times New Roman" w:hAnsi="Arial"/>
        <w:sz w:val="20"/>
      </w:rPr>
    </w:lvl>
    <w:lvl w:ilvl="5">
      <w:start w:val="1"/>
      <w:numFmt w:val="bullet"/>
      <w:lvlText w:val="▪"/>
      <w:lvlJc w:val="left"/>
      <w:pPr>
        <w:ind w:left="4320" w:firstLine="3960"/>
      </w:pPr>
      <w:rPr>
        <w:rFonts w:ascii="Arial" w:eastAsia="Times New Roman" w:hAnsi="Arial"/>
        <w:sz w:val="20"/>
      </w:rPr>
    </w:lvl>
    <w:lvl w:ilvl="6">
      <w:start w:val="1"/>
      <w:numFmt w:val="bullet"/>
      <w:lvlText w:val="▪"/>
      <w:lvlJc w:val="left"/>
      <w:pPr>
        <w:ind w:left="5040" w:firstLine="4680"/>
      </w:pPr>
      <w:rPr>
        <w:rFonts w:ascii="Arial" w:eastAsia="Times New Roman" w:hAnsi="Arial"/>
        <w:sz w:val="20"/>
      </w:rPr>
    </w:lvl>
    <w:lvl w:ilvl="7">
      <w:start w:val="1"/>
      <w:numFmt w:val="bullet"/>
      <w:lvlText w:val="▪"/>
      <w:lvlJc w:val="left"/>
      <w:pPr>
        <w:ind w:left="5760" w:firstLine="5400"/>
      </w:pPr>
      <w:rPr>
        <w:rFonts w:ascii="Arial" w:eastAsia="Times New Roman" w:hAnsi="Arial"/>
        <w:sz w:val="20"/>
      </w:rPr>
    </w:lvl>
    <w:lvl w:ilvl="8">
      <w:start w:val="1"/>
      <w:numFmt w:val="bullet"/>
      <w:lvlText w:val="▪"/>
      <w:lvlJc w:val="left"/>
      <w:pPr>
        <w:ind w:left="6480" w:firstLine="6120"/>
      </w:pPr>
      <w:rPr>
        <w:rFonts w:ascii="Arial" w:eastAsia="Times New Roman" w:hAnsi="Arial"/>
        <w:sz w:val="20"/>
      </w:rPr>
    </w:lvl>
  </w:abstractNum>
  <w:abstractNum w:abstractNumId="13" w15:restartNumberingAfterBreak="0">
    <w:nsid w:val="25237567"/>
    <w:multiLevelType w:val="hybridMultilevel"/>
    <w:tmpl w:val="AEF442D2"/>
    <w:lvl w:ilvl="0" w:tplc="F606C6AE">
      <w:start w:val="6"/>
      <w:numFmt w:val="decimal"/>
      <w:lvlText w:val="%1."/>
      <w:lvlJc w:val="left"/>
      <w:pPr>
        <w:ind w:left="720" w:hanging="360"/>
      </w:pPr>
      <w:rPr>
        <w:rFonts w:eastAsia="Calibri"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BC4F60"/>
    <w:multiLevelType w:val="hybridMultilevel"/>
    <w:tmpl w:val="D4A8C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741E7"/>
    <w:multiLevelType w:val="hybridMultilevel"/>
    <w:tmpl w:val="5E4CFB98"/>
    <w:lvl w:ilvl="0" w:tplc="F2F2ADAC">
      <w:start w:val="1"/>
      <w:numFmt w:val="bullet"/>
      <w:lvlText w:val="-"/>
      <w:lvlJc w:val="left"/>
      <w:pPr>
        <w:ind w:left="720" w:hanging="360"/>
      </w:pPr>
      <w:rPr>
        <w:rFonts w:ascii="Georgia" w:hAnsi="Georgia" w:hint="default"/>
      </w:rPr>
    </w:lvl>
    <w:lvl w:ilvl="1" w:tplc="141A6EFC" w:tentative="1">
      <w:start w:val="1"/>
      <w:numFmt w:val="bullet"/>
      <w:lvlText w:val="o"/>
      <w:lvlJc w:val="left"/>
      <w:pPr>
        <w:ind w:left="1440" w:hanging="360"/>
      </w:pPr>
      <w:rPr>
        <w:rFonts w:ascii="Courier New" w:hAnsi="Courier New" w:cs="Courier New" w:hint="default"/>
      </w:rPr>
    </w:lvl>
    <w:lvl w:ilvl="2" w:tplc="47A4ACF8" w:tentative="1">
      <w:start w:val="1"/>
      <w:numFmt w:val="bullet"/>
      <w:lvlText w:val=""/>
      <w:lvlJc w:val="left"/>
      <w:pPr>
        <w:ind w:left="2160" w:hanging="360"/>
      </w:pPr>
      <w:rPr>
        <w:rFonts w:ascii="Wingdings" w:hAnsi="Wingdings" w:hint="default"/>
      </w:rPr>
    </w:lvl>
    <w:lvl w:ilvl="3" w:tplc="2D3826E6" w:tentative="1">
      <w:start w:val="1"/>
      <w:numFmt w:val="bullet"/>
      <w:lvlText w:val=""/>
      <w:lvlJc w:val="left"/>
      <w:pPr>
        <w:ind w:left="2880" w:hanging="360"/>
      </w:pPr>
      <w:rPr>
        <w:rFonts w:ascii="Symbol" w:hAnsi="Symbol" w:hint="default"/>
      </w:rPr>
    </w:lvl>
    <w:lvl w:ilvl="4" w:tplc="B7B6727A" w:tentative="1">
      <w:start w:val="1"/>
      <w:numFmt w:val="bullet"/>
      <w:lvlText w:val="o"/>
      <w:lvlJc w:val="left"/>
      <w:pPr>
        <w:ind w:left="3600" w:hanging="360"/>
      </w:pPr>
      <w:rPr>
        <w:rFonts w:ascii="Courier New" w:hAnsi="Courier New" w:cs="Courier New" w:hint="default"/>
      </w:rPr>
    </w:lvl>
    <w:lvl w:ilvl="5" w:tplc="0DF2457A" w:tentative="1">
      <w:start w:val="1"/>
      <w:numFmt w:val="bullet"/>
      <w:lvlText w:val=""/>
      <w:lvlJc w:val="left"/>
      <w:pPr>
        <w:ind w:left="4320" w:hanging="360"/>
      </w:pPr>
      <w:rPr>
        <w:rFonts w:ascii="Wingdings" w:hAnsi="Wingdings" w:hint="default"/>
      </w:rPr>
    </w:lvl>
    <w:lvl w:ilvl="6" w:tplc="AB94B8C2" w:tentative="1">
      <w:start w:val="1"/>
      <w:numFmt w:val="bullet"/>
      <w:lvlText w:val=""/>
      <w:lvlJc w:val="left"/>
      <w:pPr>
        <w:ind w:left="5040" w:hanging="360"/>
      </w:pPr>
      <w:rPr>
        <w:rFonts w:ascii="Symbol" w:hAnsi="Symbol" w:hint="default"/>
      </w:rPr>
    </w:lvl>
    <w:lvl w:ilvl="7" w:tplc="5D0E7EBA" w:tentative="1">
      <w:start w:val="1"/>
      <w:numFmt w:val="bullet"/>
      <w:lvlText w:val="o"/>
      <w:lvlJc w:val="left"/>
      <w:pPr>
        <w:ind w:left="5760" w:hanging="360"/>
      </w:pPr>
      <w:rPr>
        <w:rFonts w:ascii="Courier New" w:hAnsi="Courier New" w:cs="Courier New" w:hint="default"/>
      </w:rPr>
    </w:lvl>
    <w:lvl w:ilvl="8" w:tplc="287EE874" w:tentative="1">
      <w:start w:val="1"/>
      <w:numFmt w:val="bullet"/>
      <w:lvlText w:val=""/>
      <w:lvlJc w:val="left"/>
      <w:pPr>
        <w:ind w:left="6480" w:hanging="360"/>
      </w:pPr>
      <w:rPr>
        <w:rFonts w:ascii="Wingdings" w:hAnsi="Wingdings" w:hint="default"/>
      </w:rPr>
    </w:lvl>
  </w:abstractNum>
  <w:abstractNum w:abstractNumId="16" w15:restartNumberingAfterBreak="0">
    <w:nsid w:val="2B1C1D2F"/>
    <w:multiLevelType w:val="hybridMultilevel"/>
    <w:tmpl w:val="9E54A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8479A"/>
    <w:multiLevelType w:val="hybridMultilevel"/>
    <w:tmpl w:val="4D90E41E"/>
    <w:lvl w:ilvl="0" w:tplc="3ECA2C38">
      <w:start w:val="1"/>
      <w:numFmt w:val="bullet"/>
      <w:lvlText w:val=""/>
      <w:lvlJc w:val="left"/>
      <w:pPr>
        <w:ind w:left="2770" w:hanging="360"/>
      </w:pPr>
      <w:rPr>
        <w:rFonts w:ascii="Symbol" w:hAnsi="Symbol"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18" w15:restartNumberingAfterBreak="0">
    <w:nsid w:val="2C963004"/>
    <w:multiLevelType w:val="hybridMultilevel"/>
    <w:tmpl w:val="AA68C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8B56DB"/>
    <w:multiLevelType w:val="hybridMultilevel"/>
    <w:tmpl w:val="8D4C3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AC2DB2"/>
    <w:multiLevelType w:val="multilevel"/>
    <w:tmpl w:val="FFFFFFFF"/>
    <w:lvl w:ilvl="0">
      <w:start w:val="1"/>
      <w:numFmt w:val="decimal"/>
      <w:lvlText w:val="%1."/>
      <w:lvlJc w:val="left"/>
      <w:pPr>
        <w:ind w:left="720" w:firstLine="360"/>
      </w:pPr>
      <w:rPr>
        <w:rFonts w:ascii="Times New Roman" w:eastAsia="Times New Roman" w:hAnsi="Times New Roman" w:cs="Times New Roman"/>
      </w:rPr>
    </w:lvl>
    <w:lvl w:ilvl="1">
      <w:start w:val="1"/>
      <w:numFmt w:val="decimal"/>
      <w:lvlText w:val="%1.%2."/>
      <w:lvlJc w:val="left"/>
      <w:pPr>
        <w:ind w:left="780" w:firstLine="360"/>
      </w:pPr>
      <w:rPr>
        <w:rFonts w:cs="Times New Roman"/>
      </w:rPr>
    </w:lvl>
    <w:lvl w:ilvl="2">
      <w:start w:val="1"/>
      <w:numFmt w:val="decimal"/>
      <w:lvlText w:val="%1.%2.%3."/>
      <w:lvlJc w:val="left"/>
      <w:pPr>
        <w:ind w:left="1080" w:firstLine="360"/>
      </w:pPr>
      <w:rPr>
        <w:rFonts w:cs="Times New Roman"/>
      </w:rPr>
    </w:lvl>
    <w:lvl w:ilvl="3">
      <w:start w:val="1"/>
      <w:numFmt w:val="decimal"/>
      <w:lvlText w:val="%1.%2.%3.%4."/>
      <w:lvlJc w:val="left"/>
      <w:pPr>
        <w:ind w:left="1080" w:firstLine="360"/>
      </w:pPr>
      <w:rPr>
        <w:rFonts w:cs="Times New Roman"/>
      </w:rPr>
    </w:lvl>
    <w:lvl w:ilvl="4">
      <w:start w:val="1"/>
      <w:numFmt w:val="decimal"/>
      <w:lvlText w:val="%1.%2.%3.%4.%5."/>
      <w:lvlJc w:val="left"/>
      <w:pPr>
        <w:ind w:left="1440" w:firstLine="360"/>
      </w:pPr>
      <w:rPr>
        <w:rFonts w:cs="Times New Roman"/>
      </w:rPr>
    </w:lvl>
    <w:lvl w:ilvl="5">
      <w:start w:val="1"/>
      <w:numFmt w:val="decimal"/>
      <w:lvlText w:val="%1.%2.%3.%4.%5.%6."/>
      <w:lvlJc w:val="left"/>
      <w:pPr>
        <w:ind w:left="1440" w:firstLine="360"/>
      </w:pPr>
      <w:rPr>
        <w:rFonts w:cs="Times New Roman"/>
      </w:rPr>
    </w:lvl>
    <w:lvl w:ilvl="6">
      <w:start w:val="1"/>
      <w:numFmt w:val="decimal"/>
      <w:lvlText w:val="%1.%2.%3.%4.%5.%6.%7."/>
      <w:lvlJc w:val="left"/>
      <w:pPr>
        <w:ind w:left="1800" w:firstLine="360"/>
      </w:pPr>
      <w:rPr>
        <w:rFonts w:cs="Times New Roman"/>
      </w:rPr>
    </w:lvl>
    <w:lvl w:ilvl="7">
      <w:start w:val="1"/>
      <w:numFmt w:val="decimal"/>
      <w:lvlText w:val="%1.%2.%3.%4.%5.%6.%7.%8."/>
      <w:lvlJc w:val="left"/>
      <w:pPr>
        <w:ind w:left="1800" w:firstLine="360"/>
      </w:pPr>
      <w:rPr>
        <w:rFonts w:cs="Times New Roman"/>
      </w:rPr>
    </w:lvl>
    <w:lvl w:ilvl="8">
      <w:start w:val="1"/>
      <w:numFmt w:val="decimal"/>
      <w:lvlText w:val="%1.%2.%3.%4.%5.%6.%7.%8.%9."/>
      <w:lvlJc w:val="left"/>
      <w:pPr>
        <w:ind w:left="2160" w:firstLine="360"/>
      </w:pPr>
      <w:rPr>
        <w:rFonts w:cs="Times New Roman"/>
      </w:rPr>
    </w:lvl>
  </w:abstractNum>
  <w:abstractNum w:abstractNumId="21" w15:restartNumberingAfterBreak="0">
    <w:nsid w:val="35B0675A"/>
    <w:multiLevelType w:val="hybridMultilevel"/>
    <w:tmpl w:val="609A4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C3F8D"/>
    <w:multiLevelType w:val="hybridMultilevel"/>
    <w:tmpl w:val="7D5CB40E"/>
    <w:lvl w:ilvl="0" w:tplc="3ECA2C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8E2868"/>
    <w:multiLevelType w:val="multilevel"/>
    <w:tmpl w:val="D354C5D4"/>
    <w:lvl w:ilvl="0">
      <w:start w:val="1"/>
      <w:numFmt w:val="decimal"/>
      <w:lvlText w:val="%1."/>
      <w:lvlJc w:val="left"/>
      <w:pPr>
        <w:ind w:left="360" w:hanging="360"/>
      </w:pPr>
      <w:rPr>
        <w:rFonts w:ascii="Arial" w:hAnsi="Arial" w:cs="Arial" w:hint="default"/>
        <w:color w:val="auto"/>
        <w:sz w:val="20"/>
      </w:rPr>
    </w:lvl>
    <w:lvl w:ilvl="1">
      <w:start w:val="1"/>
      <w:numFmt w:val="decimal"/>
      <w:lvlText w:val="8.%2"/>
      <w:lvlJc w:val="left"/>
      <w:pPr>
        <w:ind w:left="360" w:hanging="360"/>
      </w:pPr>
      <w:rPr>
        <w:rFonts w:ascii="Cambria" w:hAnsi="Cambria" w:hint="default"/>
        <w:sz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2B14279"/>
    <w:multiLevelType w:val="multilevel"/>
    <w:tmpl w:val="F03EF9AE"/>
    <w:lvl w:ilvl="0">
      <w:start w:val="1"/>
      <w:numFmt w:val="decimal"/>
      <w:pStyle w:val="ListArabic4"/>
      <w:lvlText w:val="%1."/>
      <w:lvlJc w:val="left"/>
      <w:pPr>
        <w:tabs>
          <w:tab w:val="num" w:pos="624"/>
        </w:tabs>
        <w:ind w:left="624" w:hanging="624"/>
      </w:pPr>
      <w:rPr>
        <w:rFonts w:cs="Times New Roman"/>
        <w:b w:val="0"/>
        <w:i w:val="0"/>
        <w:sz w:val="20"/>
      </w:rPr>
    </w:lvl>
    <w:lvl w:ilvl="1">
      <w:start w:val="1"/>
      <w:numFmt w:val="decimal"/>
      <w:pStyle w:val="ListLegal1"/>
      <w:lvlText w:val="%1.%2"/>
      <w:lvlJc w:val="left"/>
      <w:pPr>
        <w:tabs>
          <w:tab w:val="num" w:pos="624"/>
        </w:tabs>
        <w:ind w:left="624" w:hanging="624"/>
      </w:pPr>
      <w:rPr>
        <w:rFonts w:cs="Times New Roman"/>
        <w:b w:val="0"/>
        <w:i w:val="0"/>
        <w:sz w:val="20"/>
      </w:rPr>
    </w:lvl>
    <w:lvl w:ilvl="2">
      <w:start w:val="1"/>
      <w:numFmt w:val="decimal"/>
      <w:pStyle w:val="ListLegal2"/>
      <w:lvlText w:val="%1.%2.%3"/>
      <w:lvlJc w:val="left"/>
      <w:pPr>
        <w:tabs>
          <w:tab w:val="num" w:pos="1417"/>
        </w:tabs>
        <w:ind w:left="1417" w:hanging="793"/>
      </w:pPr>
      <w:rPr>
        <w:rFonts w:cs="Times New Roman"/>
        <w:b w:val="0"/>
        <w:i w:val="0"/>
        <w:sz w:val="18"/>
      </w:rPr>
    </w:lvl>
    <w:lvl w:ilvl="3">
      <w:start w:val="1"/>
      <w:numFmt w:val="decimal"/>
      <w:pStyle w:val="ListArabic3"/>
      <w:lvlText w:val="(%4)"/>
      <w:lvlJc w:val="left"/>
      <w:pPr>
        <w:tabs>
          <w:tab w:val="num" w:pos="2438"/>
        </w:tabs>
        <w:ind w:left="2438" w:hanging="510"/>
      </w:pPr>
      <w:rPr>
        <w:rFonts w:cs="Times New Roman"/>
        <w:b w:val="0"/>
        <w:i w:val="0"/>
        <w:sz w:val="20"/>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5" w15:restartNumberingAfterBreak="0">
    <w:nsid w:val="43CB77FE"/>
    <w:multiLevelType w:val="multilevel"/>
    <w:tmpl w:val="FFFFFFFF"/>
    <w:lvl w:ilvl="0">
      <w:start w:val="1"/>
      <w:numFmt w:val="decimal"/>
      <w:lvlText w:val="%1."/>
      <w:lvlJc w:val="left"/>
      <w:pPr>
        <w:ind w:left="720" w:firstLine="360"/>
      </w:pPr>
      <w:rPr>
        <w:rFonts w:ascii="Times New Roman" w:eastAsia="Times New Roman" w:hAnsi="Times New Roman" w:cs="Times New Roman"/>
      </w:rPr>
    </w:lvl>
    <w:lvl w:ilvl="1">
      <w:start w:val="1"/>
      <w:numFmt w:val="decimal"/>
      <w:lvlText w:val="%2."/>
      <w:lvlJc w:val="left"/>
      <w:pPr>
        <w:ind w:left="-360" w:firstLine="360"/>
      </w:pPr>
      <w:rPr>
        <w:rFonts w:ascii="Times New Roman" w:eastAsia="Times New Roman" w:hAnsi="Times New Roman" w:cs="Times New Roman"/>
      </w:rPr>
    </w:lvl>
    <w:lvl w:ilvl="2">
      <w:start w:val="1"/>
      <w:numFmt w:val="decimal"/>
      <w:lvlText w:val="%1.%2.%3."/>
      <w:lvlJc w:val="left"/>
      <w:pPr>
        <w:ind w:left="1080" w:firstLine="360"/>
      </w:pPr>
      <w:rPr>
        <w:rFonts w:cs="Times New Roman"/>
      </w:rPr>
    </w:lvl>
    <w:lvl w:ilvl="3">
      <w:start w:val="1"/>
      <w:numFmt w:val="decimal"/>
      <w:lvlText w:val="%1.%2.%3.%4."/>
      <w:lvlJc w:val="left"/>
      <w:pPr>
        <w:ind w:left="1080" w:firstLine="360"/>
      </w:pPr>
      <w:rPr>
        <w:rFonts w:cs="Times New Roman"/>
      </w:rPr>
    </w:lvl>
    <w:lvl w:ilvl="4">
      <w:start w:val="1"/>
      <w:numFmt w:val="decimal"/>
      <w:lvlText w:val="%1.%2.%3.%4.%5."/>
      <w:lvlJc w:val="left"/>
      <w:pPr>
        <w:ind w:left="1440" w:firstLine="360"/>
      </w:pPr>
      <w:rPr>
        <w:rFonts w:cs="Times New Roman"/>
      </w:rPr>
    </w:lvl>
    <w:lvl w:ilvl="5">
      <w:start w:val="1"/>
      <w:numFmt w:val="decimal"/>
      <w:lvlText w:val="%1.%2.%3.%4.%5.%6."/>
      <w:lvlJc w:val="left"/>
      <w:pPr>
        <w:ind w:left="1440" w:firstLine="360"/>
      </w:pPr>
      <w:rPr>
        <w:rFonts w:cs="Times New Roman"/>
      </w:rPr>
    </w:lvl>
    <w:lvl w:ilvl="6">
      <w:start w:val="1"/>
      <w:numFmt w:val="decimal"/>
      <w:lvlText w:val="%1.%2.%3.%4.%5.%6.%7."/>
      <w:lvlJc w:val="left"/>
      <w:pPr>
        <w:ind w:left="1800" w:firstLine="360"/>
      </w:pPr>
      <w:rPr>
        <w:rFonts w:cs="Times New Roman"/>
      </w:rPr>
    </w:lvl>
    <w:lvl w:ilvl="7">
      <w:start w:val="1"/>
      <w:numFmt w:val="decimal"/>
      <w:lvlText w:val="%1.%2.%3.%4.%5.%6.%7.%8."/>
      <w:lvlJc w:val="left"/>
      <w:pPr>
        <w:ind w:left="1800" w:firstLine="360"/>
      </w:pPr>
      <w:rPr>
        <w:rFonts w:cs="Times New Roman"/>
      </w:rPr>
    </w:lvl>
    <w:lvl w:ilvl="8">
      <w:start w:val="1"/>
      <w:numFmt w:val="decimal"/>
      <w:lvlText w:val="%1.%2.%3.%4.%5.%6.%7.%8.%9."/>
      <w:lvlJc w:val="left"/>
      <w:pPr>
        <w:ind w:left="2160" w:firstLine="360"/>
      </w:pPr>
      <w:rPr>
        <w:rFonts w:cs="Times New Roman"/>
      </w:rPr>
    </w:lvl>
  </w:abstractNum>
  <w:abstractNum w:abstractNumId="26" w15:restartNumberingAfterBreak="0">
    <w:nsid w:val="48C57FDA"/>
    <w:multiLevelType w:val="multilevel"/>
    <w:tmpl w:val="4CE2E8FC"/>
    <w:lvl w:ilvl="0">
      <w:start w:val="1"/>
      <w:numFmt w:val="bullet"/>
      <w:lvlText w:val=""/>
      <w:lvlJc w:val="left"/>
      <w:pPr>
        <w:ind w:left="720" w:firstLine="360"/>
      </w:pPr>
      <w:rPr>
        <w:rFonts w:ascii="Wingdings" w:hAnsi="Wingdings" w:hint="default"/>
        <w:sz w:val="20"/>
      </w:rPr>
    </w:lvl>
    <w:lvl w:ilvl="1">
      <w:start w:val="1"/>
      <w:numFmt w:val="bullet"/>
      <w:lvlText w:val="o"/>
      <w:lvlJc w:val="left"/>
      <w:pPr>
        <w:ind w:left="1440" w:firstLine="1080"/>
      </w:pPr>
      <w:rPr>
        <w:rFonts w:ascii="Arial" w:eastAsia="Times New Roman" w:hAnsi="Arial"/>
        <w:sz w:val="20"/>
      </w:rPr>
    </w:lvl>
    <w:lvl w:ilvl="2">
      <w:start w:val="1"/>
      <w:numFmt w:val="bullet"/>
      <w:lvlText w:val="▪"/>
      <w:lvlJc w:val="left"/>
      <w:pPr>
        <w:ind w:left="2160" w:firstLine="1800"/>
      </w:pPr>
      <w:rPr>
        <w:rFonts w:ascii="Arial" w:eastAsia="Times New Roman" w:hAnsi="Arial"/>
        <w:sz w:val="20"/>
      </w:rPr>
    </w:lvl>
    <w:lvl w:ilvl="3">
      <w:start w:val="1"/>
      <w:numFmt w:val="bullet"/>
      <w:lvlText w:val="▪"/>
      <w:lvlJc w:val="left"/>
      <w:pPr>
        <w:ind w:left="2880" w:firstLine="2520"/>
      </w:pPr>
      <w:rPr>
        <w:rFonts w:ascii="Arial" w:eastAsia="Times New Roman" w:hAnsi="Arial"/>
        <w:sz w:val="20"/>
      </w:rPr>
    </w:lvl>
    <w:lvl w:ilvl="4">
      <w:start w:val="1"/>
      <w:numFmt w:val="bullet"/>
      <w:lvlText w:val="▪"/>
      <w:lvlJc w:val="left"/>
      <w:pPr>
        <w:ind w:left="3600" w:firstLine="3240"/>
      </w:pPr>
      <w:rPr>
        <w:rFonts w:ascii="Arial" w:eastAsia="Times New Roman" w:hAnsi="Arial"/>
        <w:sz w:val="20"/>
      </w:rPr>
    </w:lvl>
    <w:lvl w:ilvl="5">
      <w:start w:val="1"/>
      <w:numFmt w:val="bullet"/>
      <w:lvlText w:val="▪"/>
      <w:lvlJc w:val="left"/>
      <w:pPr>
        <w:ind w:left="4320" w:firstLine="3960"/>
      </w:pPr>
      <w:rPr>
        <w:rFonts w:ascii="Arial" w:eastAsia="Times New Roman" w:hAnsi="Arial"/>
        <w:sz w:val="20"/>
      </w:rPr>
    </w:lvl>
    <w:lvl w:ilvl="6">
      <w:start w:val="1"/>
      <w:numFmt w:val="bullet"/>
      <w:lvlText w:val="▪"/>
      <w:lvlJc w:val="left"/>
      <w:pPr>
        <w:ind w:left="5040" w:firstLine="4680"/>
      </w:pPr>
      <w:rPr>
        <w:rFonts w:ascii="Arial" w:eastAsia="Times New Roman" w:hAnsi="Arial"/>
        <w:sz w:val="20"/>
      </w:rPr>
    </w:lvl>
    <w:lvl w:ilvl="7">
      <w:start w:val="1"/>
      <w:numFmt w:val="bullet"/>
      <w:lvlText w:val="▪"/>
      <w:lvlJc w:val="left"/>
      <w:pPr>
        <w:ind w:left="5760" w:firstLine="5400"/>
      </w:pPr>
      <w:rPr>
        <w:rFonts w:ascii="Arial" w:eastAsia="Times New Roman" w:hAnsi="Arial"/>
        <w:sz w:val="20"/>
      </w:rPr>
    </w:lvl>
    <w:lvl w:ilvl="8">
      <w:start w:val="1"/>
      <w:numFmt w:val="bullet"/>
      <w:lvlText w:val="▪"/>
      <w:lvlJc w:val="left"/>
      <w:pPr>
        <w:ind w:left="6480" w:firstLine="6120"/>
      </w:pPr>
      <w:rPr>
        <w:rFonts w:ascii="Arial" w:eastAsia="Times New Roman" w:hAnsi="Arial"/>
        <w:sz w:val="20"/>
      </w:rPr>
    </w:lvl>
  </w:abstractNum>
  <w:abstractNum w:abstractNumId="27" w15:restartNumberingAfterBreak="0">
    <w:nsid w:val="49120B0E"/>
    <w:multiLevelType w:val="hybridMultilevel"/>
    <w:tmpl w:val="8B7EDB04"/>
    <w:lvl w:ilvl="0" w:tplc="85E4DD2E">
      <w:start w:val="1"/>
      <w:numFmt w:val="bullet"/>
      <w:lvlRestart w:val="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514EAE"/>
    <w:multiLevelType w:val="multilevel"/>
    <w:tmpl w:val="5674321C"/>
    <w:lvl w:ilvl="0">
      <w:start w:val="10"/>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15:restartNumberingAfterBreak="0">
    <w:nsid w:val="4E763BE8"/>
    <w:multiLevelType w:val="hybridMultilevel"/>
    <w:tmpl w:val="F3E685F2"/>
    <w:lvl w:ilvl="0" w:tplc="04190019">
      <w:start w:val="1"/>
      <w:numFmt w:val="lowerLetter"/>
      <w:lvlText w:val="%1."/>
      <w:lvlJc w:val="left"/>
      <w:pPr>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EB2BA8"/>
    <w:multiLevelType w:val="hybridMultilevel"/>
    <w:tmpl w:val="09A8B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5827D71"/>
    <w:multiLevelType w:val="hybridMultilevel"/>
    <w:tmpl w:val="59AEB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1D1232"/>
    <w:multiLevelType w:val="multilevel"/>
    <w:tmpl w:val="26AE635E"/>
    <w:lvl w:ilvl="0">
      <w:start w:val="1"/>
      <w:numFmt w:val="decimal"/>
      <w:pStyle w:val="Level1"/>
      <w:lvlText w:val="СТАТЬЯ %1."/>
      <w:lvlJc w:val="left"/>
      <w:pPr>
        <w:tabs>
          <w:tab w:val="num" w:pos="680"/>
        </w:tabs>
        <w:ind w:left="680" w:hanging="680"/>
      </w:pPr>
      <w:rPr>
        <w:rFonts w:cs="Times New Roman" w:hint="default"/>
        <w:b/>
        <w:i w:val="0"/>
        <w:sz w:val="22"/>
      </w:rPr>
    </w:lvl>
    <w:lvl w:ilvl="1">
      <w:start w:val="1"/>
      <w:numFmt w:val="decimal"/>
      <w:pStyle w:val="Level2"/>
      <w:lvlText w:val="%1.%2"/>
      <w:lvlJc w:val="left"/>
      <w:pPr>
        <w:tabs>
          <w:tab w:val="num" w:pos="680"/>
        </w:tabs>
        <w:ind w:left="680" w:hanging="680"/>
      </w:pPr>
      <w:rPr>
        <w:rFonts w:cs="Times New Roman" w:hint="default"/>
        <w:b/>
        <w:i w:val="0"/>
        <w:sz w:val="21"/>
      </w:rPr>
    </w:lvl>
    <w:lvl w:ilvl="2">
      <w:start w:val="1"/>
      <w:numFmt w:val="decimal"/>
      <w:pStyle w:val="Level3"/>
      <w:lvlText w:val="%1.%2.%3"/>
      <w:lvlJc w:val="left"/>
      <w:pPr>
        <w:tabs>
          <w:tab w:val="num" w:pos="1361"/>
        </w:tabs>
        <w:ind w:left="1361" w:hanging="681"/>
      </w:pPr>
      <w:rPr>
        <w:rFonts w:cs="Times New Roman" w:hint="default"/>
        <w:b/>
        <w:i w:val="0"/>
        <w:sz w:val="17"/>
      </w:rPr>
    </w:lvl>
    <w:lvl w:ilvl="3">
      <w:start w:val="1"/>
      <w:numFmt w:val="lowerRoman"/>
      <w:pStyle w:val="Level4"/>
      <w:lvlText w:val="(%4)"/>
      <w:lvlJc w:val="left"/>
      <w:pPr>
        <w:tabs>
          <w:tab w:val="num" w:pos="2041"/>
        </w:tabs>
        <w:ind w:left="2041" w:hanging="680"/>
      </w:pPr>
      <w:rPr>
        <w:rFonts w:cs="Times New Roman" w:hint="default"/>
      </w:rPr>
    </w:lvl>
    <w:lvl w:ilvl="4">
      <w:start w:val="1"/>
      <w:numFmt w:val="lowerLetter"/>
      <w:pStyle w:val="Level5"/>
      <w:lvlText w:val="(%5)"/>
      <w:lvlJc w:val="left"/>
      <w:pPr>
        <w:tabs>
          <w:tab w:val="num" w:pos="2608"/>
        </w:tabs>
        <w:ind w:left="2608" w:hanging="567"/>
      </w:pPr>
      <w:rPr>
        <w:rFonts w:cs="Times New Roman" w:hint="default"/>
      </w:rPr>
    </w:lvl>
    <w:lvl w:ilvl="5">
      <w:start w:val="1"/>
      <w:numFmt w:val="upperRoman"/>
      <w:pStyle w:val="Level6"/>
      <w:lvlText w:val="(%6)"/>
      <w:lvlJc w:val="left"/>
      <w:pPr>
        <w:tabs>
          <w:tab w:val="num" w:pos="3288"/>
        </w:tabs>
        <w:ind w:left="3288" w:hanging="680"/>
      </w:pPr>
      <w:rPr>
        <w:rFonts w:cs="Times New Roman" w:hint="default"/>
      </w:rPr>
    </w:lvl>
    <w:lvl w:ilvl="6">
      <w:start w:val="1"/>
      <w:numFmt w:val="none"/>
      <w:pStyle w:val="Level7"/>
      <w:lvlText w:val=""/>
      <w:lvlJc w:val="left"/>
      <w:pPr>
        <w:tabs>
          <w:tab w:val="num" w:pos="3288"/>
        </w:tabs>
        <w:ind w:left="3288" w:hanging="680"/>
      </w:pPr>
      <w:rPr>
        <w:rFonts w:cs="Times New Roman" w:hint="default"/>
      </w:rPr>
    </w:lvl>
    <w:lvl w:ilvl="7">
      <w:start w:val="1"/>
      <w:numFmt w:val="none"/>
      <w:pStyle w:val="Level8"/>
      <w:lvlText w:val=""/>
      <w:lvlJc w:val="left"/>
      <w:pPr>
        <w:tabs>
          <w:tab w:val="num" w:pos="3288"/>
        </w:tabs>
        <w:ind w:left="3288" w:hanging="680"/>
      </w:pPr>
      <w:rPr>
        <w:rFonts w:cs="Times New Roman" w:hint="default"/>
      </w:rPr>
    </w:lvl>
    <w:lvl w:ilvl="8">
      <w:start w:val="1"/>
      <w:numFmt w:val="none"/>
      <w:pStyle w:val="Level9"/>
      <w:lvlText w:val=""/>
      <w:lvlJc w:val="left"/>
      <w:pPr>
        <w:tabs>
          <w:tab w:val="num" w:pos="3288"/>
        </w:tabs>
        <w:ind w:left="3288" w:hanging="680"/>
      </w:pPr>
      <w:rPr>
        <w:rFonts w:cs="Times New Roman" w:hint="default"/>
      </w:rPr>
    </w:lvl>
  </w:abstractNum>
  <w:abstractNum w:abstractNumId="33" w15:restartNumberingAfterBreak="0">
    <w:nsid w:val="73A12DB4"/>
    <w:multiLevelType w:val="hybridMultilevel"/>
    <w:tmpl w:val="3504472C"/>
    <w:lvl w:ilvl="0" w:tplc="0419000F">
      <w:start w:val="1"/>
      <w:numFmt w:val="decimal"/>
      <w:lvlText w:val="%1."/>
      <w:lvlJc w:val="left"/>
      <w:pPr>
        <w:ind w:left="360" w:hanging="360"/>
      </w:pPr>
      <w:rPr>
        <w:rFonts w:hint="default"/>
      </w:rPr>
    </w:lvl>
    <w:lvl w:ilvl="1" w:tplc="0E346612">
      <w:start w:val="1"/>
      <w:numFmt w:val="bullet"/>
      <w:lvlText w:val=""/>
      <w:lvlJc w:val="left"/>
      <w:pPr>
        <w:ind w:left="1080" w:hanging="360"/>
      </w:pPr>
      <w:rPr>
        <w:rFonts w:ascii="Symbol" w:hAnsi="Symbol"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766718FE"/>
    <w:multiLevelType w:val="hybridMultilevel"/>
    <w:tmpl w:val="DF601CE4"/>
    <w:lvl w:ilvl="0" w:tplc="BF4443CC">
      <w:start w:val="1"/>
      <w:numFmt w:val="bullet"/>
      <w:lvlRestart w:val="0"/>
      <w:lvlText w:val=""/>
      <w:lvlJc w:val="left"/>
      <w:pPr>
        <w:ind w:left="2770" w:hanging="360"/>
      </w:pPr>
      <w:rPr>
        <w:rFonts w:ascii="Symbol" w:hAnsi="Symbol"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35" w15:restartNumberingAfterBreak="0">
    <w:nsid w:val="767078A9"/>
    <w:multiLevelType w:val="hybridMultilevel"/>
    <w:tmpl w:val="ED243C86"/>
    <w:lvl w:ilvl="0" w:tplc="0419000F">
      <w:start w:val="1"/>
      <w:numFmt w:val="decimal"/>
      <w:lvlText w:val="%1."/>
      <w:lvlJc w:val="left"/>
      <w:pPr>
        <w:ind w:left="360" w:hanging="360"/>
      </w:pPr>
      <w:rPr>
        <w:rFonts w:hint="default"/>
        <w:sz w:val="2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774147F7"/>
    <w:multiLevelType w:val="hybridMultilevel"/>
    <w:tmpl w:val="1D18999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785A5B88"/>
    <w:multiLevelType w:val="singleLevel"/>
    <w:tmpl w:val="B5BEC2FE"/>
    <w:name w:val="zzmpFWB||FW Body Text|2|3|0|1|0|49||1|0|32||1|0|32||1|0|32||1|0|32||1|0|32||1|0|32||1|0|32||mpNA||2222222222"/>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38" w15:restartNumberingAfterBreak="0">
    <w:nsid w:val="79172F89"/>
    <w:multiLevelType w:val="hybridMultilevel"/>
    <w:tmpl w:val="300461F0"/>
    <w:lvl w:ilvl="0" w:tplc="66762E6C">
      <w:start w:val="6"/>
      <w:numFmt w:val="decimal"/>
      <w:lvlText w:val="%1."/>
      <w:lvlJc w:val="left"/>
      <w:pPr>
        <w:ind w:left="720" w:hanging="360"/>
      </w:pPr>
      <w:rPr>
        <w:rFonts w:eastAsia="Calibri"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C879AC"/>
    <w:multiLevelType w:val="multilevel"/>
    <w:tmpl w:val="FFFFFFFF"/>
    <w:lvl w:ilvl="0">
      <w:start w:val="1"/>
      <w:numFmt w:val="decimal"/>
      <w:lvlText w:val="%1."/>
      <w:lvlJc w:val="left"/>
      <w:pPr>
        <w:ind w:left="720" w:firstLine="360"/>
      </w:pPr>
      <w:rPr>
        <w:rFonts w:ascii="Times New Roman" w:eastAsia="Times New Roman" w:hAnsi="Times New Roman" w:cs="Times New Roman"/>
      </w:rPr>
    </w:lvl>
    <w:lvl w:ilvl="1">
      <w:start w:val="1"/>
      <w:numFmt w:val="decimal"/>
      <w:lvlText w:val="%2."/>
      <w:lvlJc w:val="left"/>
      <w:pPr>
        <w:ind w:left="-360" w:firstLine="360"/>
      </w:pPr>
      <w:rPr>
        <w:rFonts w:ascii="Times New Roman" w:eastAsia="Times New Roman" w:hAnsi="Times New Roman" w:cs="Times New Roman"/>
      </w:rPr>
    </w:lvl>
    <w:lvl w:ilvl="2">
      <w:start w:val="1"/>
      <w:numFmt w:val="decimal"/>
      <w:lvlText w:val="%1.%2.%3."/>
      <w:lvlJc w:val="left"/>
      <w:pPr>
        <w:ind w:left="1080" w:firstLine="360"/>
      </w:pPr>
      <w:rPr>
        <w:rFonts w:cs="Times New Roman"/>
      </w:rPr>
    </w:lvl>
    <w:lvl w:ilvl="3">
      <w:start w:val="1"/>
      <w:numFmt w:val="decimal"/>
      <w:lvlText w:val="%1.%2.%3.%4."/>
      <w:lvlJc w:val="left"/>
      <w:pPr>
        <w:ind w:left="1080" w:firstLine="360"/>
      </w:pPr>
      <w:rPr>
        <w:rFonts w:cs="Times New Roman"/>
      </w:rPr>
    </w:lvl>
    <w:lvl w:ilvl="4">
      <w:start w:val="1"/>
      <w:numFmt w:val="decimal"/>
      <w:lvlText w:val="%1.%2.%3.%4.%5."/>
      <w:lvlJc w:val="left"/>
      <w:pPr>
        <w:ind w:left="1440" w:firstLine="360"/>
      </w:pPr>
      <w:rPr>
        <w:rFonts w:cs="Times New Roman"/>
      </w:rPr>
    </w:lvl>
    <w:lvl w:ilvl="5">
      <w:start w:val="1"/>
      <w:numFmt w:val="decimal"/>
      <w:lvlText w:val="%1.%2.%3.%4.%5.%6."/>
      <w:lvlJc w:val="left"/>
      <w:pPr>
        <w:ind w:left="1440" w:firstLine="360"/>
      </w:pPr>
      <w:rPr>
        <w:rFonts w:cs="Times New Roman"/>
      </w:rPr>
    </w:lvl>
    <w:lvl w:ilvl="6">
      <w:start w:val="1"/>
      <w:numFmt w:val="decimal"/>
      <w:lvlText w:val="%1.%2.%3.%4.%5.%6.%7."/>
      <w:lvlJc w:val="left"/>
      <w:pPr>
        <w:ind w:left="1800" w:firstLine="360"/>
      </w:pPr>
      <w:rPr>
        <w:rFonts w:cs="Times New Roman"/>
      </w:rPr>
    </w:lvl>
    <w:lvl w:ilvl="7">
      <w:start w:val="1"/>
      <w:numFmt w:val="decimal"/>
      <w:lvlText w:val="%1.%2.%3.%4.%5.%6.%7.%8."/>
      <w:lvlJc w:val="left"/>
      <w:pPr>
        <w:ind w:left="1800" w:firstLine="360"/>
      </w:pPr>
      <w:rPr>
        <w:rFonts w:cs="Times New Roman"/>
      </w:rPr>
    </w:lvl>
    <w:lvl w:ilvl="8">
      <w:start w:val="1"/>
      <w:numFmt w:val="decimal"/>
      <w:lvlText w:val="%1.%2.%3.%4.%5.%6.%7.%8.%9."/>
      <w:lvlJc w:val="left"/>
      <w:pPr>
        <w:ind w:left="2160" w:firstLine="360"/>
      </w:pPr>
      <w:rPr>
        <w:rFonts w:cs="Times New Roman"/>
      </w:rPr>
    </w:lvl>
  </w:abstractNum>
  <w:abstractNum w:abstractNumId="40" w15:restartNumberingAfterBreak="0">
    <w:nsid w:val="7D127681"/>
    <w:multiLevelType w:val="multilevel"/>
    <w:tmpl w:val="FFFFFFFF"/>
    <w:lvl w:ilvl="0">
      <w:start w:val="1"/>
      <w:numFmt w:val="decimal"/>
      <w:lvlText w:val="%1."/>
      <w:lvlJc w:val="left"/>
      <w:pPr>
        <w:ind w:left="720" w:firstLine="360"/>
      </w:pPr>
      <w:rPr>
        <w:rFonts w:ascii="Times New Roman" w:eastAsia="Times New Roman" w:hAnsi="Times New Roman" w:cs="Times New Roman"/>
      </w:rPr>
    </w:lvl>
    <w:lvl w:ilvl="1">
      <w:start w:val="1"/>
      <w:numFmt w:val="decimal"/>
      <w:lvlText w:val="%2."/>
      <w:lvlJc w:val="left"/>
      <w:pPr>
        <w:ind w:left="-360" w:firstLine="360"/>
      </w:pPr>
      <w:rPr>
        <w:rFonts w:ascii="Times New Roman" w:eastAsia="Times New Roman" w:hAnsi="Times New Roman" w:cs="Times New Roman"/>
      </w:rPr>
    </w:lvl>
    <w:lvl w:ilvl="2">
      <w:start w:val="1"/>
      <w:numFmt w:val="decimal"/>
      <w:lvlText w:val="%1.%2.%3."/>
      <w:lvlJc w:val="left"/>
      <w:pPr>
        <w:ind w:left="1080" w:firstLine="360"/>
      </w:pPr>
      <w:rPr>
        <w:rFonts w:cs="Times New Roman"/>
      </w:rPr>
    </w:lvl>
    <w:lvl w:ilvl="3">
      <w:start w:val="1"/>
      <w:numFmt w:val="decimal"/>
      <w:lvlText w:val="%1.%2.%3.%4."/>
      <w:lvlJc w:val="left"/>
      <w:pPr>
        <w:ind w:left="1080" w:firstLine="360"/>
      </w:pPr>
      <w:rPr>
        <w:rFonts w:cs="Times New Roman"/>
      </w:rPr>
    </w:lvl>
    <w:lvl w:ilvl="4">
      <w:start w:val="1"/>
      <w:numFmt w:val="decimal"/>
      <w:lvlText w:val="%1.%2.%3.%4.%5."/>
      <w:lvlJc w:val="left"/>
      <w:pPr>
        <w:ind w:left="1440" w:firstLine="360"/>
      </w:pPr>
      <w:rPr>
        <w:rFonts w:cs="Times New Roman"/>
      </w:rPr>
    </w:lvl>
    <w:lvl w:ilvl="5">
      <w:start w:val="1"/>
      <w:numFmt w:val="decimal"/>
      <w:lvlText w:val="%1.%2.%3.%4.%5.%6."/>
      <w:lvlJc w:val="left"/>
      <w:pPr>
        <w:ind w:left="1440" w:firstLine="360"/>
      </w:pPr>
      <w:rPr>
        <w:rFonts w:cs="Times New Roman"/>
      </w:rPr>
    </w:lvl>
    <w:lvl w:ilvl="6">
      <w:start w:val="1"/>
      <w:numFmt w:val="decimal"/>
      <w:lvlText w:val="%1.%2.%3.%4.%5.%6.%7."/>
      <w:lvlJc w:val="left"/>
      <w:pPr>
        <w:ind w:left="1800" w:firstLine="360"/>
      </w:pPr>
      <w:rPr>
        <w:rFonts w:cs="Times New Roman"/>
      </w:rPr>
    </w:lvl>
    <w:lvl w:ilvl="7">
      <w:start w:val="1"/>
      <w:numFmt w:val="decimal"/>
      <w:lvlText w:val="%1.%2.%3.%4.%5.%6.%7.%8."/>
      <w:lvlJc w:val="left"/>
      <w:pPr>
        <w:ind w:left="1800" w:firstLine="360"/>
      </w:pPr>
      <w:rPr>
        <w:rFonts w:cs="Times New Roman"/>
      </w:rPr>
    </w:lvl>
    <w:lvl w:ilvl="8">
      <w:start w:val="1"/>
      <w:numFmt w:val="decimal"/>
      <w:lvlText w:val="%1.%2.%3.%4.%5.%6.%7.%8.%9."/>
      <w:lvlJc w:val="left"/>
      <w:pPr>
        <w:ind w:left="2160" w:firstLine="360"/>
      </w:pPr>
      <w:rPr>
        <w:rFonts w:cs="Times New Roman"/>
      </w:rPr>
    </w:lvl>
  </w:abstractNum>
  <w:num w:numId="1">
    <w:abstractNumId w:val="32"/>
  </w:num>
  <w:num w:numId="2">
    <w:abstractNumId w:val="24"/>
  </w:num>
  <w:num w:numId="3">
    <w:abstractNumId w:val="8"/>
  </w:num>
  <w:num w:numId="4">
    <w:abstractNumId w:val="15"/>
  </w:num>
  <w:num w:numId="5">
    <w:abstractNumId w:val="5"/>
  </w:num>
  <w:num w:numId="6">
    <w:abstractNumId w:val="23"/>
  </w:num>
  <w:num w:numId="7">
    <w:abstractNumId w:val="37"/>
  </w:num>
  <w:num w:numId="8">
    <w:abstractNumId w:val="17"/>
  </w:num>
  <w:num w:numId="9">
    <w:abstractNumId w:val="22"/>
  </w:num>
  <w:num w:numId="10">
    <w:abstractNumId w:val="3"/>
  </w:num>
  <w:num w:numId="11">
    <w:abstractNumId w:val="27"/>
  </w:num>
  <w:num w:numId="12">
    <w:abstractNumId w:val="9"/>
  </w:num>
  <w:num w:numId="13">
    <w:abstractNumId w:val="34"/>
  </w:num>
  <w:num w:numId="14">
    <w:abstractNumId w:val="11"/>
  </w:num>
  <w:num w:numId="15">
    <w:abstractNumId w:val="28"/>
  </w:num>
  <w:num w:numId="16">
    <w:abstractNumId w:val="33"/>
  </w:num>
  <w:num w:numId="17">
    <w:abstractNumId w:val="1"/>
  </w:num>
  <w:num w:numId="18">
    <w:abstractNumId w:val="39"/>
  </w:num>
  <w:num w:numId="19">
    <w:abstractNumId w:val="25"/>
  </w:num>
  <w:num w:numId="20">
    <w:abstractNumId w:val="36"/>
  </w:num>
  <w:num w:numId="21">
    <w:abstractNumId w:val="12"/>
  </w:num>
  <w:num w:numId="22">
    <w:abstractNumId w:val="26"/>
  </w:num>
  <w:num w:numId="23">
    <w:abstractNumId w:val="2"/>
  </w:num>
  <w:num w:numId="24">
    <w:abstractNumId w:val="38"/>
  </w:num>
  <w:num w:numId="25">
    <w:abstractNumId w:val="13"/>
  </w:num>
  <w:num w:numId="26">
    <w:abstractNumId w:val="30"/>
  </w:num>
  <w:num w:numId="27">
    <w:abstractNumId w:val="20"/>
  </w:num>
  <w:num w:numId="28">
    <w:abstractNumId w:val="40"/>
  </w:num>
  <w:num w:numId="29">
    <w:abstractNumId w:val="7"/>
  </w:num>
  <w:num w:numId="30">
    <w:abstractNumId w:val="18"/>
  </w:num>
  <w:num w:numId="31">
    <w:abstractNumId w:val="10"/>
  </w:num>
  <w:num w:numId="32">
    <w:abstractNumId w:val="35"/>
  </w:num>
  <w:num w:numId="33">
    <w:abstractNumId w:val="29"/>
  </w:num>
  <w:num w:numId="34">
    <w:abstractNumId w:val="0"/>
  </w:num>
  <w:num w:numId="35">
    <w:abstractNumId w:val="4"/>
  </w:num>
  <w:num w:numId="36">
    <w:abstractNumId w:val="21"/>
  </w:num>
  <w:num w:numId="37">
    <w:abstractNumId w:val="14"/>
  </w:num>
  <w:num w:numId="38">
    <w:abstractNumId w:val="16"/>
  </w:num>
  <w:num w:numId="39">
    <w:abstractNumId w:val="6"/>
  </w:num>
  <w:num w:numId="40">
    <w:abstractNumId w:val="19"/>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3C9"/>
    <w:rsid w:val="000C52E2"/>
    <w:rsid w:val="000D43C9"/>
    <w:rsid w:val="002F2521"/>
    <w:rsid w:val="00413B5B"/>
    <w:rsid w:val="00422B9F"/>
    <w:rsid w:val="0042464D"/>
    <w:rsid w:val="00777781"/>
    <w:rsid w:val="00B85DE8"/>
    <w:rsid w:val="00E31B28"/>
    <w:rsid w:val="00E4498B"/>
    <w:rsid w:val="00EB2E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EA95A2-8E13-4784-9283-A738A6FC8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D43C9"/>
    <w:pPr>
      <w:keepNext/>
      <w:keepLines/>
      <w:spacing w:before="480" w:after="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0D43C9"/>
    <w:pPr>
      <w:keepNext/>
      <w:spacing w:after="0" w:line="240" w:lineRule="auto"/>
      <w:jc w:val="both"/>
      <w:outlineLvl w:val="1"/>
    </w:pPr>
    <w:rPr>
      <w:rFonts w:ascii="Times New Roman" w:eastAsia="Times New Roman" w:hAnsi="Times New Roman" w:cs="Times New Roman"/>
      <w:b/>
      <w:sz w:val="24"/>
      <w:szCs w:val="20"/>
      <w:lang w:eastAsia="ru-RU"/>
    </w:rPr>
  </w:style>
  <w:style w:type="paragraph" w:styleId="3">
    <w:name w:val="heading 3"/>
    <w:basedOn w:val="a"/>
    <w:next w:val="a"/>
    <w:link w:val="30"/>
    <w:uiPriority w:val="9"/>
    <w:unhideWhenUsed/>
    <w:qFormat/>
    <w:rsid w:val="000D43C9"/>
    <w:pPr>
      <w:keepNext/>
      <w:keepLines/>
      <w:spacing w:before="200" w:after="0" w:line="276" w:lineRule="auto"/>
      <w:outlineLvl w:val="2"/>
    </w:pPr>
    <w:rPr>
      <w:rFonts w:ascii="Cambria" w:eastAsia="Times New Roman" w:hAnsi="Cambria" w:cs="Times New Roman"/>
      <w:b/>
      <w:bCs/>
      <w:color w:val="4F81BD"/>
      <w:sz w:val="24"/>
    </w:rPr>
  </w:style>
  <w:style w:type="paragraph" w:styleId="4">
    <w:name w:val="heading 4"/>
    <w:basedOn w:val="a"/>
    <w:next w:val="a"/>
    <w:link w:val="40"/>
    <w:unhideWhenUsed/>
    <w:qFormat/>
    <w:rsid w:val="000D43C9"/>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43C9"/>
    <w:rPr>
      <w:rFonts w:ascii="Cambria" w:eastAsia="Times New Roman" w:hAnsi="Cambria" w:cs="Times New Roman"/>
      <w:b/>
      <w:bCs/>
      <w:color w:val="365F91"/>
      <w:sz w:val="28"/>
      <w:szCs w:val="28"/>
    </w:rPr>
  </w:style>
  <w:style w:type="character" w:customStyle="1" w:styleId="20">
    <w:name w:val="Заголовок 2 Знак"/>
    <w:basedOn w:val="a0"/>
    <w:link w:val="2"/>
    <w:rsid w:val="000D43C9"/>
    <w:rPr>
      <w:rFonts w:ascii="Times New Roman" w:eastAsia="Times New Roman" w:hAnsi="Times New Roman" w:cs="Times New Roman"/>
      <w:b/>
      <w:sz w:val="24"/>
      <w:szCs w:val="20"/>
      <w:lang w:eastAsia="ru-RU"/>
    </w:rPr>
  </w:style>
  <w:style w:type="character" w:customStyle="1" w:styleId="30">
    <w:name w:val="Заголовок 3 Знак"/>
    <w:basedOn w:val="a0"/>
    <w:link w:val="3"/>
    <w:uiPriority w:val="9"/>
    <w:rsid w:val="000D43C9"/>
    <w:rPr>
      <w:rFonts w:ascii="Cambria" w:eastAsia="Times New Roman" w:hAnsi="Cambria" w:cs="Times New Roman"/>
      <w:b/>
      <w:bCs/>
      <w:color w:val="4F81BD"/>
      <w:sz w:val="24"/>
    </w:rPr>
  </w:style>
  <w:style w:type="character" w:customStyle="1" w:styleId="40">
    <w:name w:val="Заголовок 4 Знак"/>
    <w:basedOn w:val="a0"/>
    <w:link w:val="4"/>
    <w:rsid w:val="000D43C9"/>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0D43C9"/>
  </w:style>
  <w:style w:type="paragraph" w:customStyle="1" w:styleId="Level1">
    <w:name w:val="Level 1"/>
    <w:basedOn w:val="a"/>
    <w:next w:val="a"/>
    <w:rsid w:val="000D43C9"/>
    <w:pPr>
      <w:keepNext/>
      <w:numPr>
        <w:numId w:val="1"/>
      </w:numPr>
      <w:spacing w:before="280" w:after="140" w:line="290" w:lineRule="auto"/>
      <w:jc w:val="both"/>
      <w:outlineLvl w:val="0"/>
    </w:pPr>
    <w:rPr>
      <w:rFonts w:ascii="Arial" w:eastAsia="Times New Roman" w:hAnsi="Arial" w:cs="Times New Roman"/>
      <w:b/>
      <w:kern w:val="20"/>
      <w:szCs w:val="24"/>
      <w:lang w:val="en-GB"/>
    </w:rPr>
  </w:style>
  <w:style w:type="paragraph" w:customStyle="1" w:styleId="Level2">
    <w:name w:val="Level 2"/>
    <w:basedOn w:val="a"/>
    <w:rsid w:val="000D43C9"/>
    <w:pPr>
      <w:numPr>
        <w:ilvl w:val="1"/>
        <w:numId w:val="1"/>
      </w:numPr>
      <w:spacing w:after="140" w:line="290" w:lineRule="auto"/>
      <w:jc w:val="both"/>
      <w:outlineLvl w:val="1"/>
    </w:pPr>
    <w:rPr>
      <w:rFonts w:ascii="Arial" w:eastAsia="Times New Roman" w:hAnsi="Arial" w:cs="Times New Roman"/>
      <w:kern w:val="20"/>
      <w:sz w:val="20"/>
      <w:szCs w:val="24"/>
      <w:lang w:val="en-GB"/>
    </w:rPr>
  </w:style>
  <w:style w:type="paragraph" w:customStyle="1" w:styleId="Level3">
    <w:name w:val="Level 3"/>
    <w:basedOn w:val="a"/>
    <w:rsid w:val="000D43C9"/>
    <w:pPr>
      <w:numPr>
        <w:ilvl w:val="2"/>
        <w:numId w:val="1"/>
      </w:numPr>
      <w:spacing w:after="140" w:line="290" w:lineRule="auto"/>
      <w:jc w:val="both"/>
      <w:outlineLvl w:val="2"/>
    </w:pPr>
    <w:rPr>
      <w:rFonts w:ascii="Arial" w:eastAsia="Times New Roman" w:hAnsi="Arial" w:cs="Times New Roman"/>
      <w:kern w:val="20"/>
      <w:sz w:val="20"/>
      <w:szCs w:val="24"/>
      <w:lang w:val="en-GB"/>
    </w:rPr>
  </w:style>
  <w:style w:type="paragraph" w:customStyle="1" w:styleId="Level4">
    <w:name w:val="Level 4"/>
    <w:basedOn w:val="a"/>
    <w:rsid w:val="000D43C9"/>
    <w:pPr>
      <w:numPr>
        <w:ilvl w:val="3"/>
        <w:numId w:val="1"/>
      </w:numPr>
      <w:spacing w:after="140" w:line="290" w:lineRule="auto"/>
      <w:jc w:val="both"/>
      <w:outlineLvl w:val="3"/>
    </w:pPr>
    <w:rPr>
      <w:rFonts w:ascii="Arial" w:eastAsia="Times New Roman" w:hAnsi="Arial" w:cs="Times New Roman"/>
      <w:kern w:val="20"/>
      <w:sz w:val="20"/>
      <w:szCs w:val="24"/>
      <w:lang w:val="en-GB"/>
    </w:rPr>
  </w:style>
  <w:style w:type="paragraph" w:customStyle="1" w:styleId="Level5">
    <w:name w:val="Level 5"/>
    <w:basedOn w:val="a"/>
    <w:rsid w:val="000D43C9"/>
    <w:pPr>
      <w:numPr>
        <w:ilvl w:val="4"/>
        <w:numId w:val="1"/>
      </w:numPr>
      <w:spacing w:after="140" w:line="290" w:lineRule="auto"/>
      <w:jc w:val="both"/>
      <w:outlineLvl w:val="4"/>
    </w:pPr>
    <w:rPr>
      <w:rFonts w:ascii="Arial" w:eastAsia="Times New Roman" w:hAnsi="Arial" w:cs="Times New Roman"/>
      <w:kern w:val="20"/>
      <w:sz w:val="20"/>
      <w:szCs w:val="24"/>
      <w:lang w:val="en-GB"/>
    </w:rPr>
  </w:style>
  <w:style w:type="paragraph" w:customStyle="1" w:styleId="Level6">
    <w:name w:val="Level 6"/>
    <w:basedOn w:val="a"/>
    <w:rsid w:val="000D43C9"/>
    <w:pPr>
      <w:numPr>
        <w:ilvl w:val="5"/>
        <w:numId w:val="1"/>
      </w:numPr>
      <w:spacing w:after="140" w:line="290" w:lineRule="auto"/>
      <w:jc w:val="both"/>
      <w:outlineLvl w:val="5"/>
    </w:pPr>
    <w:rPr>
      <w:rFonts w:ascii="Arial" w:eastAsia="Times New Roman" w:hAnsi="Arial" w:cs="Times New Roman"/>
      <w:kern w:val="20"/>
      <w:sz w:val="20"/>
      <w:szCs w:val="24"/>
      <w:lang w:val="en-GB"/>
    </w:rPr>
  </w:style>
  <w:style w:type="paragraph" w:customStyle="1" w:styleId="Level7">
    <w:name w:val="Level 7"/>
    <w:basedOn w:val="a"/>
    <w:rsid w:val="000D43C9"/>
    <w:pPr>
      <w:numPr>
        <w:ilvl w:val="6"/>
        <w:numId w:val="1"/>
      </w:numPr>
      <w:spacing w:after="140" w:line="290" w:lineRule="auto"/>
      <w:jc w:val="both"/>
      <w:outlineLvl w:val="6"/>
    </w:pPr>
    <w:rPr>
      <w:rFonts w:ascii="Arial" w:eastAsia="Times New Roman" w:hAnsi="Arial" w:cs="Times New Roman"/>
      <w:kern w:val="20"/>
      <w:sz w:val="20"/>
      <w:szCs w:val="24"/>
      <w:lang w:val="en-GB"/>
    </w:rPr>
  </w:style>
  <w:style w:type="paragraph" w:customStyle="1" w:styleId="Level8">
    <w:name w:val="Level 8"/>
    <w:basedOn w:val="a"/>
    <w:rsid w:val="000D43C9"/>
    <w:pPr>
      <w:numPr>
        <w:ilvl w:val="7"/>
        <w:numId w:val="1"/>
      </w:numPr>
      <w:spacing w:after="140" w:line="290" w:lineRule="auto"/>
      <w:jc w:val="both"/>
      <w:outlineLvl w:val="7"/>
    </w:pPr>
    <w:rPr>
      <w:rFonts w:ascii="Arial" w:eastAsia="Times New Roman" w:hAnsi="Arial" w:cs="Times New Roman"/>
      <w:kern w:val="20"/>
      <w:sz w:val="20"/>
      <w:szCs w:val="24"/>
      <w:lang w:val="en-GB"/>
    </w:rPr>
  </w:style>
  <w:style w:type="paragraph" w:customStyle="1" w:styleId="Level9">
    <w:name w:val="Level 9"/>
    <w:basedOn w:val="a"/>
    <w:rsid w:val="000D43C9"/>
    <w:pPr>
      <w:numPr>
        <w:ilvl w:val="8"/>
        <w:numId w:val="1"/>
      </w:numPr>
      <w:spacing w:after="140" w:line="290" w:lineRule="auto"/>
      <w:jc w:val="both"/>
      <w:outlineLvl w:val="8"/>
    </w:pPr>
    <w:rPr>
      <w:rFonts w:ascii="Arial" w:eastAsia="Times New Roman" w:hAnsi="Arial" w:cs="Times New Roman"/>
      <w:kern w:val="20"/>
      <w:sz w:val="20"/>
      <w:szCs w:val="24"/>
      <w:lang w:val="en-GB"/>
    </w:rPr>
  </w:style>
  <w:style w:type="paragraph" w:customStyle="1" w:styleId="auto-style4">
    <w:name w:val="auto-style4"/>
    <w:basedOn w:val="a"/>
    <w:rsid w:val="000D43C9"/>
    <w:pPr>
      <w:spacing w:after="0" w:line="240" w:lineRule="auto"/>
    </w:pPr>
    <w:rPr>
      <w:rFonts w:ascii="Times New Roman" w:eastAsia="Times New Roman" w:hAnsi="Times New Roman" w:cs="Times New Roman"/>
      <w:sz w:val="24"/>
      <w:szCs w:val="24"/>
      <w:lang w:eastAsia="ru-RU"/>
    </w:rPr>
  </w:style>
  <w:style w:type="character" w:styleId="a3">
    <w:name w:val="Strong"/>
    <w:uiPriority w:val="22"/>
    <w:qFormat/>
    <w:rsid w:val="000D43C9"/>
    <w:rPr>
      <w:rFonts w:cs="Times New Roman"/>
      <w:b/>
    </w:rPr>
  </w:style>
  <w:style w:type="character" w:customStyle="1" w:styleId="EmailStyle26">
    <w:name w:val="EmailStyle26"/>
    <w:semiHidden/>
    <w:rsid w:val="000D43C9"/>
    <w:rPr>
      <w:rFonts w:ascii="Arial" w:hAnsi="Arial"/>
      <w:color w:val="auto"/>
      <w:sz w:val="20"/>
    </w:rPr>
  </w:style>
  <w:style w:type="table" w:styleId="a4">
    <w:name w:val="Table Grid"/>
    <w:basedOn w:val="a1"/>
    <w:uiPriority w:val="59"/>
    <w:rsid w:val="000D43C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5"/>
    <w:link w:val="22"/>
    <w:rsid w:val="000D43C9"/>
    <w:pPr>
      <w:spacing w:after="0"/>
      <w:ind w:left="476"/>
      <w:jc w:val="both"/>
    </w:pPr>
    <w:rPr>
      <w:rFonts w:eastAsia="Arial Unicode MS"/>
      <w:sz w:val="22"/>
      <w:szCs w:val="22"/>
      <w:lang w:val="en-US"/>
    </w:rPr>
  </w:style>
  <w:style w:type="character" w:customStyle="1" w:styleId="22">
    <w:name w:val="Основной текст 2 Знак"/>
    <w:basedOn w:val="a0"/>
    <w:link w:val="21"/>
    <w:rsid w:val="000D43C9"/>
    <w:rPr>
      <w:rFonts w:ascii="Times New Roman" w:eastAsia="Arial Unicode MS" w:hAnsi="Times New Roman" w:cs="Times New Roman"/>
      <w:lang w:val="en-US" w:eastAsia="ru-RU"/>
    </w:rPr>
  </w:style>
  <w:style w:type="paragraph" w:styleId="a5">
    <w:name w:val="Body Text"/>
    <w:basedOn w:val="a"/>
    <w:link w:val="a6"/>
    <w:rsid w:val="000D43C9"/>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rsid w:val="000D43C9"/>
    <w:rPr>
      <w:rFonts w:ascii="Times New Roman" w:eastAsia="Times New Roman" w:hAnsi="Times New Roman" w:cs="Times New Roman"/>
      <w:sz w:val="24"/>
      <w:szCs w:val="24"/>
      <w:lang w:eastAsia="ru-RU"/>
    </w:rPr>
  </w:style>
  <w:style w:type="paragraph" w:customStyle="1" w:styleId="msolistparagraph0">
    <w:name w:val="msolistparagraph"/>
    <w:basedOn w:val="a"/>
    <w:rsid w:val="000D43C9"/>
    <w:pPr>
      <w:spacing w:after="0" w:line="240" w:lineRule="auto"/>
      <w:ind w:left="720"/>
    </w:pPr>
    <w:rPr>
      <w:rFonts w:ascii="Times New Roman" w:eastAsia="Times New Roman" w:hAnsi="Times New Roman" w:cs="Times New Roman"/>
      <w:sz w:val="24"/>
      <w:szCs w:val="24"/>
      <w:lang w:eastAsia="ru-RU"/>
    </w:rPr>
  </w:style>
  <w:style w:type="paragraph" w:customStyle="1" w:styleId="ConsPlusNormal">
    <w:name w:val="ConsPlusNormal"/>
    <w:rsid w:val="000D43C9"/>
    <w:pPr>
      <w:autoSpaceDE w:val="0"/>
      <w:autoSpaceDN w:val="0"/>
      <w:adjustRightInd w:val="0"/>
      <w:spacing w:after="0" w:line="240" w:lineRule="auto"/>
    </w:pPr>
    <w:rPr>
      <w:rFonts w:ascii="Arial" w:eastAsia="Times New Roman" w:hAnsi="Arial" w:cs="Arial"/>
      <w:sz w:val="20"/>
      <w:szCs w:val="20"/>
      <w:lang w:eastAsia="ru-RU"/>
    </w:rPr>
  </w:style>
  <w:style w:type="paragraph" w:styleId="a7">
    <w:name w:val="Balloon Text"/>
    <w:basedOn w:val="a"/>
    <w:link w:val="a8"/>
    <w:uiPriority w:val="99"/>
    <w:rsid w:val="000D43C9"/>
    <w:pPr>
      <w:spacing w:after="0" w:line="240" w:lineRule="auto"/>
    </w:pPr>
    <w:rPr>
      <w:rFonts w:ascii="Tahoma" w:eastAsia="Times New Roman" w:hAnsi="Tahoma" w:cs="Times New Roman"/>
      <w:sz w:val="16"/>
      <w:szCs w:val="20"/>
      <w:lang w:eastAsia="ru-RU"/>
    </w:rPr>
  </w:style>
  <w:style w:type="character" w:customStyle="1" w:styleId="a8">
    <w:name w:val="Текст выноски Знак"/>
    <w:basedOn w:val="a0"/>
    <w:link w:val="a7"/>
    <w:uiPriority w:val="99"/>
    <w:rsid w:val="000D43C9"/>
    <w:rPr>
      <w:rFonts w:ascii="Tahoma" w:eastAsia="Times New Roman" w:hAnsi="Tahoma" w:cs="Times New Roman"/>
      <w:sz w:val="16"/>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0D43C9"/>
    <w:pPr>
      <w:spacing w:after="0" w:line="240" w:lineRule="auto"/>
    </w:pPr>
    <w:rPr>
      <w:rFonts w:ascii="Verdana" w:eastAsia="Times New Roman" w:hAnsi="Verdana" w:cs="Verdana"/>
      <w:sz w:val="20"/>
      <w:szCs w:val="20"/>
      <w:lang w:val="en-US"/>
    </w:rPr>
  </w:style>
  <w:style w:type="paragraph" w:customStyle="1" w:styleId="Default">
    <w:name w:val="Default"/>
    <w:rsid w:val="000D43C9"/>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bcfootnote">
    <w:name w:val="abcfootnote"/>
    <w:basedOn w:val="a"/>
    <w:rsid w:val="000D43C9"/>
    <w:pPr>
      <w:spacing w:after="0" w:line="240" w:lineRule="auto"/>
    </w:pPr>
    <w:rPr>
      <w:rFonts w:ascii="Times New Roman" w:eastAsia="Times New Roman" w:hAnsi="Times New Roman" w:cs="Times New Roman"/>
      <w:sz w:val="18"/>
      <w:szCs w:val="18"/>
      <w:lang w:eastAsia="ru-RU"/>
    </w:rPr>
  </w:style>
  <w:style w:type="paragraph" w:customStyle="1" w:styleId="ListArabic3">
    <w:name w:val="List Arabic 3"/>
    <w:basedOn w:val="a"/>
    <w:next w:val="31"/>
    <w:rsid w:val="000D43C9"/>
    <w:pPr>
      <w:numPr>
        <w:ilvl w:val="3"/>
        <w:numId w:val="2"/>
      </w:numPr>
      <w:tabs>
        <w:tab w:val="left" w:pos="68"/>
        <w:tab w:val="num" w:pos="1928"/>
      </w:tabs>
      <w:spacing w:after="200" w:line="288" w:lineRule="auto"/>
      <w:ind w:left="1928" w:hanging="511"/>
      <w:jc w:val="both"/>
    </w:pPr>
    <w:rPr>
      <w:rFonts w:ascii="Times New Roman" w:eastAsia="MS Mincho" w:hAnsi="Times New Roman" w:cs="Times New Roman"/>
      <w:szCs w:val="20"/>
      <w:lang w:val="en-GB" w:eastAsia="ru-RU"/>
    </w:rPr>
  </w:style>
  <w:style w:type="paragraph" w:customStyle="1" w:styleId="ListArabic4">
    <w:name w:val="List Arabic 4"/>
    <w:basedOn w:val="a"/>
    <w:next w:val="a"/>
    <w:rsid w:val="000D43C9"/>
    <w:pPr>
      <w:numPr>
        <w:numId w:val="2"/>
      </w:numPr>
      <w:tabs>
        <w:tab w:val="left" w:pos="86"/>
        <w:tab w:val="num" w:pos="2438"/>
      </w:tabs>
      <w:spacing w:after="200" w:line="288" w:lineRule="auto"/>
      <w:ind w:left="2438" w:hanging="510"/>
      <w:jc w:val="both"/>
    </w:pPr>
    <w:rPr>
      <w:rFonts w:ascii="Times New Roman" w:eastAsia="MS Mincho" w:hAnsi="Times New Roman" w:cs="Times New Roman"/>
      <w:szCs w:val="20"/>
      <w:lang w:val="en-GB" w:eastAsia="ru-RU"/>
    </w:rPr>
  </w:style>
  <w:style w:type="paragraph" w:customStyle="1" w:styleId="ListLegal1">
    <w:name w:val="List Legal 1"/>
    <w:basedOn w:val="a"/>
    <w:next w:val="a5"/>
    <w:rsid w:val="000D43C9"/>
    <w:pPr>
      <w:numPr>
        <w:ilvl w:val="1"/>
        <w:numId w:val="2"/>
      </w:numPr>
      <w:tabs>
        <w:tab w:val="left" w:pos="22"/>
      </w:tabs>
      <w:spacing w:after="200" w:line="288" w:lineRule="auto"/>
      <w:jc w:val="both"/>
    </w:pPr>
    <w:rPr>
      <w:rFonts w:ascii="Times New Roman" w:eastAsia="MS Mincho" w:hAnsi="Times New Roman" w:cs="Times New Roman"/>
      <w:szCs w:val="20"/>
      <w:lang w:val="en-GB" w:eastAsia="ru-RU"/>
    </w:rPr>
  </w:style>
  <w:style w:type="paragraph" w:customStyle="1" w:styleId="ListLegal2">
    <w:name w:val="List Legal 2"/>
    <w:basedOn w:val="a"/>
    <w:next w:val="a5"/>
    <w:rsid w:val="000D43C9"/>
    <w:pPr>
      <w:numPr>
        <w:ilvl w:val="2"/>
        <w:numId w:val="2"/>
      </w:numPr>
      <w:tabs>
        <w:tab w:val="left" w:pos="22"/>
        <w:tab w:val="num" w:pos="624"/>
      </w:tabs>
      <w:spacing w:after="200" w:line="288" w:lineRule="auto"/>
      <w:ind w:left="624" w:hanging="624"/>
      <w:jc w:val="both"/>
    </w:pPr>
    <w:rPr>
      <w:rFonts w:ascii="Times New Roman" w:eastAsia="MS Mincho" w:hAnsi="Times New Roman" w:cs="Times New Roman"/>
      <w:szCs w:val="20"/>
      <w:lang w:val="en-GB" w:eastAsia="ru-RU"/>
    </w:rPr>
  </w:style>
  <w:style w:type="paragraph" w:styleId="31">
    <w:name w:val="Body Text 3"/>
    <w:basedOn w:val="a"/>
    <w:link w:val="32"/>
    <w:rsid w:val="000D43C9"/>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D43C9"/>
    <w:rPr>
      <w:rFonts w:ascii="Times New Roman" w:eastAsia="Times New Roman" w:hAnsi="Times New Roman" w:cs="Times New Roman"/>
      <w:sz w:val="16"/>
      <w:szCs w:val="16"/>
      <w:lang w:eastAsia="ru-RU"/>
    </w:rPr>
  </w:style>
  <w:style w:type="paragraph" w:customStyle="1" w:styleId="a9">
    <w:name w:val="Обычный + По ширине"/>
    <w:basedOn w:val="a"/>
    <w:rsid w:val="000D43C9"/>
    <w:pPr>
      <w:spacing w:after="0" w:line="240" w:lineRule="auto"/>
      <w:jc w:val="both"/>
    </w:pPr>
    <w:rPr>
      <w:rFonts w:ascii="Times New Roman" w:eastAsia="MS Mincho" w:hAnsi="Times New Roman" w:cs="Times New Roman"/>
      <w:sz w:val="24"/>
      <w:szCs w:val="24"/>
      <w:lang w:eastAsia="ru-RU"/>
    </w:rPr>
  </w:style>
  <w:style w:type="character" w:styleId="aa">
    <w:name w:val="annotation reference"/>
    <w:uiPriority w:val="99"/>
    <w:rsid w:val="000D43C9"/>
    <w:rPr>
      <w:rFonts w:cs="Times New Roman"/>
      <w:sz w:val="16"/>
    </w:rPr>
  </w:style>
  <w:style w:type="paragraph" w:styleId="ab">
    <w:name w:val="annotation text"/>
    <w:basedOn w:val="a"/>
    <w:link w:val="ac"/>
    <w:uiPriority w:val="99"/>
    <w:rsid w:val="000D43C9"/>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0"/>
    <w:link w:val="ab"/>
    <w:uiPriority w:val="99"/>
    <w:rsid w:val="000D43C9"/>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rsid w:val="000D43C9"/>
    <w:rPr>
      <w:b/>
    </w:rPr>
  </w:style>
  <w:style w:type="character" w:customStyle="1" w:styleId="ae">
    <w:name w:val="Тема примечания Знак"/>
    <w:basedOn w:val="ac"/>
    <w:link w:val="ad"/>
    <w:uiPriority w:val="99"/>
    <w:rsid w:val="000D43C9"/>
    <w:rPr>
      <w:rFonts w:ascii="Times New Roman" w:eastAsia="Times New Roman" w:hAnsi="Times New Roman" w:cs="Times New Roman"/>
      <w:b/>
      <w:sz w:val="20"/>
      <w:szCs w:val="20"/>
      <w:lang w:eastAsia="ru-RU"/>
    </w:rPr>
  </w:style>
  <w:style w:type="paragraph" w:styleId="af">
    <w:name w:val="header"/>
    <w:basedOn w:val="a"/>
    <w:link w:val="af0"/>
    <w:uiPriority w:val="99"/>
    <w:rsid w:val="000D43C9"/>
    <w:pPr>
      <w:tabs>
        <w:tab w:val="center" w:pos="4677"/>
        <w:tab w:val="right" w:pos="9355"/>
      </w:tabs>
      <w:spacing w:after="0" w:line="240" w:lineRule="auto"/>
    </w:pPr>
    <w:rPr>
      <w:rFonts w:ascii="Times New Roman" w:eastAsia="Times New Roman" w:hAnsi="Times New Roman" w:cs="Times New Roman"/>
      <w:sz w:val="24"/>
      <w:szCs w:val="20"/>
      <w:lang w:eastAsia="ru-RU"/>
    </w:rPr>
  </w:style>
  <w:style w:type="character" w:customStyle="1" w:styleId="af0">
    <w:name w:val="Верхний колонтитул Знак"/>
    <w:basedOn w:val="a0"/>
    <w:link w:val="af"/>
    <w:uiPriority w:val="99"/>
    <w:rsid w:val="000D43C9"/>
    <w:rPr>
      <w:rFonts w:ascii="Times New Roman" w:eastAsia="Times New Roman" w:hAnsi="Times New Roman" w:cs="Times New Roman"/>
      <w:sz w:val="24"/>
      <w:szCs w:val="20"/>
      <w:lang w:eastAsia="ru-RU"/>
    </w:rPr>
  </w:style>
  <w:style w:type="paragraph" w:styleId="af1">
    <w:name w:val="footer"/>
    <w:basedOn w:val="a"/>
    <w:link w:val="af2"/>
    <w:uiPriority w:val="99"/>
    <w:rsid w:val="000D43C9"/>
    <w:pPr>
      <w:tabs>
        <w:tab w:val="center" w:pos="4677"/>
        <w:tab w:val="right" w:pos="9355"/>
      </w:tabs>
      <w:spacing w:after="0" w:line="240" w:lineRule="auto"/>
    </w:pPr>
    <w:rPr>
      <w:rFonts w:ascii="Times New Roman" w:eastAsia="Times New Roman" w:hAnsi="Times New Roman" w:cs="Times New Roman"/>
      <w:sz w:val="24"/>
      <w:szCs w:val="20"/>
      <w:lang w:eastAsia="ru-RU"/>
    </w:rPr>
  </w:style>
  <w:style w:type="character" w:customStyle="1" w:styleId="af2">
    <w:name w:val="Нижний колонтитул Знак"/>
    <w:basedOn w:val="a0"/>
    <w:link w:val="af1"/>
    <w:uiPriority w:val="99"/>
    <w:rsid w:val="000D43C9"/>
    <w:rPr>
      <w:rFonts w:ascii="Times New Roman" w:eastAsia="Times New Roman" w:hAnsi="Times New Roman" w:cs="Times New Roman"/>
      <w:sz w:val="24"/>
      <w:szCs w:val="20"/>
      <w:lang w:eastAsia="ru-RU"/>
    </w:rPr>
  </w:style>
  <w:style w:type="paragraph" w:customStyle="1" w:styleId="Revision1">
    <w:name w:val="Revision1"/>
    <w:hidden/>
    <w:semiHidden/>
    <w:rsid w:val="000D43C9"/>
    <w:pPr>
      <w:spacing w:after="0" w:line="240" w:lineRule="auto"/>
    </w:pPr>
    <w:rPr>
      <w:rFonts w:ascii="Times New Roman" w:eastAsia="Times New Roman" w:hAnsi="Times New Roman" w:cs="Times New Roman"/>
      <w:sz w:val="24"/>
      <w:szCs w:val="24"/>
      <w:lang w:eastAsia="ru-RU"/>
    </w:rPr>
  </w:style>
  <w:style w:type="paragraph" w:styleId="af3">
    <w:name w:val="endnote text"/>
    <w:basedOn w:val="a"/>
    <w:link w:val="af4"/>
    <w:rsid w:val="000D43C9"/>
    <w:pPr>
      <w:spacing w:after="0" w:line="240" w:lineRule="auto"/>
    </w:pPr>
    <w:rPr>
      <w:rFonts w:ascii="Times New Roman" w:eastAsia="Times New Roman" w:hAnsi="Times New Roman" w:cs="Times New Roman"/>
      <w:sz w:val="20"/>
      <w:szCs w:val="20"/>
      <w:lang w:eastAsia="ru-RU"/>
    </w:rPr>
  </w:style>
  <w:style w:type="character" w:customStyle="1" w:styleId="af4">
    <w:name w:val="Текст концевой сноски Знак"/>
    <w:basedOn w:val="a0"/>
    <w:link w:val="af3"/>
    <w:rsid w:val="000D43C9"/>
    <w:rPr>
      <w:rFonts w:ascii="Times New Roman" w:eastAsia="Times New Roman" w:hAnsi="Times New Roman" w:cs="Times New Roman"/>
      <w:sz w:val="20"/>
      <w:szCs w:val="20"/>
      <w:lang w:eastAsia="ru-RU"/>
    </w:rPr>
  </w:style>
  <w:style w:type="character" w:styleId="af5">
    <w:name w:val="endnote reference"/>
    <w:rsid w:val="000D43C9"/>
    <w:rPr>
      <w:rFonts w:cs="Times New Roman"/>
      <w:vertAlign w:val="superscript"/>
    </w:rPr>
  </w:style>
  <w:style w:type="paragraph" w:styleId="af6">
    <w:name w:val="footnote text"/>
    <w:basedOn w:val="a"/>
    <w:link w:val="af7"/>
    <w:uiPriority w:val="99"/>
    <w:rsid w:val="000D43C9"/>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uiPriority w:val="99"/>
    <w:rsid w:val="000D43C9"/>
    <w:rPr>
      <w:rFonts w:ascii="Times New Roman" w:eastAsia="Times New Roman" w:hAnsi="Times New Roman" w:cs="Times New Roman"/>
      <w:sz w:val="20"/>
      <w:szCs w:val="20"/>
      <w:lang w:eastAsia="ru-RU"/>
    </w:rPr>
  </w:style>
  <w:style w:type="character" w:styleId="af8">
    <w:name w:val="footnote reference"/>
    <w:uiPriority w:val="99"/>
    <w:rsid w:val="000D43C9"/>
    <w:rPr>
      <w:rFonts w:cs="Times New Roman"/>
      <w:vertAlign w:val="superscript"/>
    </w:rPr>
  </w:style>
  <w:style w:type="paragraph" w:customStyle="1" w:styleId="af9">
    <w:name w:val="???????"/>
    <w:rsid w:val="000D43C9"/>
    <w:pPr>
      <w:spacing w:after="0" w:line="240" w:lineRule="auto"/>
    </w:pPr>
    <w:rPr>
      <w:rFonts w:ascii="Times New Roman" w:eastAsia="Times New Roman" w:hAnsi="Times New Roman" w:cs="Times New Roman"/>
      <w:sz w:val="20"/>
      <w:szCs w:val="20"/>
      <w:lang w:eastAsia="ru-RU"/>
    </w:rPr>
  </w:style>
  <w:style w:type="paragraph" w:customStyle="1" w:styleId="ListParagraph1">
    <w:name w:val="List Paragraph1"/>
    <w:basedOn w:val="a"/>
    <w:rsid w:val="000D43C9"/>
    <w:pPr>
      <w:spacing w:after="200" w:line="276" w:lineRule="auto"/>
      <w:ind w:left="720"/>
      <w:contextualSpacing/>
    </w:pPr>
    <w:rPr>
      <w:rFonts w:ascii="Calibri" w:eastAsia="Times New Roman" w:hAnsi="Calibri" w:cs="Times New Roman"/>
    </w:rPr>
  </w:style>
  <w:style w:type="character" w:styleId="afa">
    <w:name w:val="Hyperlink"/>
    <w:uiPriority w:val="99"/>
    <w:rsid w:val="000D43C9"/>
    <w:rPr>
      <w:rFonts w:cs="Times New Roman"/>
      <w:color w:val="0000FF"/>
      <w:u w:val="single"/>
    </w:rPr>
  </w:style>
  <w:style w:type="paragraph" w:customStyle="1" w:styleId="12">
    <w:name w:val="Стиль1"/>
    <w:basedOn w:val="a"/>
    <w:qFormat/>
    <w:rsid w:val="000D43C9"/>
    <w:pPr>
      <w:tabs>
        <w:tab w:val="left" w:pos="426"/>
      </w:tabs>
      <w:suppressAutoHyphens/>
      <w:spacing w:after="0" w:line="276" w:lineRule="auto"/>
      <w:ind w:left="-426"/>
      <w:jc w:val="both"/>
    </w:pPr>
    <w:rPr>
      <w:rFonts w:ascii="Times New Roman" w:eastAsia="Times New Roman" w:hAnsi="Times New Roman" w:cs="Times New Roman"/>
      <w:sz w:val="21"/>
      <w:szCs w:val="21"/>
      <w:lang w:eastAsia="ar-SA"/>
    </w:rPr>
  </w:style>
  <w:style w:type="paragraph" w:styleId="afb">
    <w:name w:val="Body Text Indent"/>
    <w:basedOn w:val="a"/>
    <w:link w:val="afc"/>
    <w:uiPriority w:val="99"/>
    <w:rsid w:val="000D43C9"/>
    <w:pPr>
      <w:spacing w:after="120" w:line="240" w:lineRule="auto"/>
      <w:ind w:left="283"/>
    </w:pPr>
    <w:rPr>
      <w:rFonts w:ascii="Times New Roman" w:eastAsia="Times New Roman" w:hAnsi="Times New Roman" w:cs="Times New Roman"/>
      <w:sz w:val="24"/>
      <w:szCs w:val="20"/>
      <w:lang w:eastAsia="ru-RU"/>
    </w:rPr>
  </w:style>
  <w:style w:type="character" w:customStyle="1" w:styleId="afc">
    <w:name w:val="Основной текст с отступом Знак"/>
    <w:basedOn w:val="a0"/>
    <w:link w:val="afb"/>
    <w:uiPriority w:val="99"/>
    <w:rsid w:val="000D43C9"/>
    <w:rPr>
      <w:rFonts w:ascii="Times New Roman" w:eastAsia="Times New Roman" w:hAnsi="Times New Roman" w:cs="Times New Roman"/>
      <w:sz w:val="24"/>
      <w:szCs w:val="20"/>
      <w:lang w:eastAsia="ru-RU"/>
    </w:rPr>
  </w:style>
  <w:style w:type="paragraph" w:customStyle="1" w:styleId="33">
    <w:name w:val="Стиль3"/>
    <w:basedOn w:val="afd"/>
    <w:link w:val="34"/>
    <w:qFormat/>
    <w:rsid w:val="000D43C9"/>
    <w:pPr>
      <w:spacing w:after="240"/>
      <w:ind w:left="0"/>
      <w:contextualSpacing/>
    </w:pPr>
    <w:rPr>
      <w:rFonts w:ascii="Arial" w:hAnsi="Arial"/>
      <w:b/>
      <w:bCs/>
      <w:kern w:val="28"/>
      <w:sz w:val="20"/>
      <w:szCs w:val="20"/>
    </w:rPr>
  </w:style>
  <w:style w:type="paragraph" w:styleId="afd">
    <w:name w:val="List Paragraph"/>
    <w:basedOn w:val="a"/>
    <w:link w:val="afe"/>
    <w:uiPriority w:val="34"/>
    <w:qFormat/>
    <w:rsid w:val="000D43C9"/>
    <w:pPr>
      <w:spacing w:after="0" w:line="240" w:lineRule="auto"/>
      <w:ind w:left="708"/>
    </w:pPr>
    <w:rPr>
      <w:rFonts w:ascii="Times New Roman" w:eastAsia="Times New Roman" w:hAnsi="Times New Roman" w:cs="Times New Roman"/>
      <w:sz w:val="24"/>
      <w:szCs w:val="24"/>
      <w:lang w:eastAsia="ru-RU"/>
    </w:rPr>
  </w:style>
  <w:style w:type="paragraph" w:styleId="aff">
    <w:name w:val="Title"/>
    <w:basedOn w:val="a"/>
    <w:next w:val="a"/>
    <w:link w:val="aff0"/>
    <w:uiPriority w:val="10"/>
    <w:qFormat/>
    <w:rsid w:val="000D43C9"/>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f0">
    <w:name w:val="Заголовок Знак"/>
    <w:basedOn w:val="a0"/>
    <w:link w:val="aff"/>
    <w:uiPriority w:val="10"/>
    <w:rsid w:val="000D43C9"/>
    <w:rPr>
      <w:rFonts w:ascii="Cambria" w:eastAsia="Times New Roman" w:hAnsi="Cambria" w:cs="Times New Roman"/>
      <w:b/>
      <w:bCs/>
      <w:kern w:val="28"/>
      <w:sz w:val="32"/>
      <w:szCs w:val="32"/>
      <w:lang w:eastAsia="ru-RU"/>
    </w:rPr>
  </w:style>
  <w:style w:type="character" w:customStyle="1" w:styleId="34">
    <w:name w:val="Стиль3 Знак"/>
    <w:link w:val="33"/>
    <w:rsid w:val="000D43C9"/>
    <w:rPr>
      <w:rFonts w:ascii="Arial" w:eastAsia="Times New Roman" w:hAnsi="Arial" w:cs="Times New Roman"/>
      <w:b/>
      <w:bCs/>
      <w:kern w:val="28"/>
      <w:sz w:val="20"/>
      <w:szCs w:val="20"/>
      <w:lang w:eastAsia="ru-RU"/>
    </w:rPr>
  </w:style>
  <w:style w:type="table" w:customStyle="1" w:styleId="13">
    <w:name w:val="Сетка таблицы1"/>
    <w:basedOn w:val="a1"/>
    <w:next w:val="a4"/>
    <w:uiPriority w:val="59"/>
    <w:rsid w:val="000D43C9"/>
    <w:pPr>
      <w:spacing w:after="0" w:line="240" w:lineRule="auto"/>
    </w:pPr>
    <w:rPr>
      <w:rFonts w:ascii="Arial" w:eastAsia="Calibri" w:hAnsi="Arial" w:cs="Times New Roman"/>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4"/>
    <w:uiPriority w:val="59"/>
    <w:rsid w:val="000D43C9"/>
    <w:pPr>
      <w:spacing w:after="0" w:line="240" w:lineRule="auto"/>
    </w:pPr>
    <w:rPr>
      <w:rFonts w:ascii="Arial" w:eastAsia="Calibri" w:hAnsi="Arial" w:cs="Times New Roman"/>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0D43C9"/>
  </w:style>
  <w:style w:type="paragraph" w:styleId="aff1">
    <w:name w:val="TOC Heading"/>
    <w:basedOn w:val="1"/>
    <w:next w:val="a"/>
    <w:uiPriority w:val="39"/>
    <w:unhideWhenUsed/>
    <w:qFormat/>
    <w:rsid w:val="000D43C9"/>
    <w:pPr>
      <w:outlineLvl w:val="9"/>
    </w:pPr>
    <w:rPr>
      <w:lang w:eastAsia="ru-RU"/>
    </w:rPr>
  </w:style>
  <w:style w:type="paragraph" w:styleId="24">
    <w:name w:val="toc 2"/>
    <w:basedOn w:val="a"/>
    <w:next w:val="a"/>
    <w:autoRedefine/>
    <w:uiPriority w:val="39"/>
    <w:unhideWhenUsed/>
    <w:qFormat/>
    <w:rsid w:val="000D43C9"/>
    <w:pPr>
      <w:tabs>
        <w:tab w:val="left" w:pos="880"/>
        <w:tab w:val="right" w:leader="dot" w:pos="9344"/>
      </w:tabs>
      <w:spacing w:after="100" w:line="276" w:lineRule="auto"/>
      <w:ind w:left="220"/>
      <w:jc w:val="center"/>
    </w:pPr>
    <w:rPr>
      <w:rFonts w:ascii="Times New Roman" w:eastAsia="Times New Roman" w:hAnsi="Times New Roman" w:cs="Arial"/>
      <w:noProof/>
      <w:sz w:val="19"/>
      <w:szCs w:val="19"/>
      <w:lang w:eastAsia="ru-RU"/>
    </w:rPr>
  </w:style>
  <w:style w:type="paragraph" w:styleId="14">
    <w:name w:val="toc 1"/>
    <w:basedOn w:val="a"/>
    <w:next w:val="a"/>
    <w:autoRedefine/>
    <w:uiPriority w:val="39"/>
    <w:unhideWhenUsed/>
    <w:qFormat/>
    <w:rsid w:val="000D43C9"/>
    <w:pPr>
      <w:tabs>
        <w:tab w:val="left" w:pos="440"/>
        <w:tab w:val="right" w:leader="dot" w:pos="9344"/>
      </w:tabs>
      <w:spacing w:after="0" w:line="240" w:lineRule="auto"/>
    </w:pPr>
    <w:rPr>
      <w:rFonts w:ascii="Arial" w:eastAsia="Times New Roman" w:hAnsi="Arial" w:cs="Arial"/>
      <w:noProof/>
      <w:sz w:val="20"/>
      <w:szCs w:val="20"/>
      <w:lang w:eastAsia="ru-RU"/>
    </w:rPr>
  </w:style>
  <w:style w:type="paragraph" w:styleId="35">
    <w:name w:val="toc 3"/>
    <w:basedOn w:val="a"/>
    <w:next w:val="a"/>
    <w:autoRedefine/>
    <w:uiPriority w:val="39"/>
    <w:unhideWhenUsed/>
    <w:qFormat/>
    <w:rsid w:val="000D43C9"/>
    <w:pPr>
      <w:spacing w:after="100" w:line="276" w:lineRule="auto"/>
      <w:ind w:left="440"/>
    </w:pPr>
    <w:rPr>
      <w:rFonts w:ascii="Calibri" w:eastAsia="Times New Roman" w:hAnsi="Calibri" w:cs="Times New Roman"/>
      <w:lang w:eastAsia="ru-RU"/>
    </w:rPr>
  </w:style>
  <w:style w:type="paragraph" w:customStyle="1" w:styleId="ABC-paragrahinNotes">
    <w:name w:val="ABC - paragrah in Notes"/>
    <w:link w:val="ABC-paragrahinNotesChar"/>
    <w:qFormat/>
    <w:rsid w:val="000D43C9"/>
    <w:pPr>
      <w:spacing w:after="240" w:line="240" w:lineRule="auto"/>
      <w:jc w:val="both"/>
    </w:pPr>
    <w:rPr>
      <w:rFonts w:ascii="Arial" w:eastAsia="Times New Roman" w:hAnsi="Arial" w:cs="Arial"/>
      <w:sz w:val="20"/>
      <w:szCs w:val="20"/>
      <w:lang w:val="en-GB" w:eastAsia="ru-RU"/>
    </w:rPr>
  </w:style>
  <w:style w:type="table" w:customStyle="1" w:styleId="36">
    <w:name w:val="Сетка таблицы3"/>
    <w:basedOn w:val="a1"/>
    <w:next w:val="a4"/>
    <w:uiPriority w:val="59"/>
    <w:rsid w:val="000D43C9"/>
    <w:pPr>
      <w:spacing w:after="0" w:line="240" w:lineRule="auto"/>
    </w:pPr>
    <w:rPr>
      <w:rFonts w:ascii="Arial" w:eastAsia="Calibri" w:hAnsi="Arial" w:cs="Times New Roman"/>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0D43C9"/>
    <w:pPr>
      <w:spacing w:after="0" w:line="240" w:lineRule="auto"/>
    </w:pPr>
    <w:rPr>
      <w:rFonts w:ascii="Arial" w:eastAsia="Times New Roman" w:hAnsi="Arial" w:cs="Arial"/>
      <w:lang w:eastAsia="ru-RU"/>
    </w:rPr>
  </w:style>
  <w:style w:type="character" w:customStyle="1" w:styleId="aff2">
    <w:name w:val="Схема документа Знак"/>
    <w:link w:val="aff3"/>
    <w:uiPriority w:val="99"/>
    <w:rsid w:val="000D43C9"/>
    <w:rPr>
      <w:rFonts w:ascii="Tahoma" w:hAnsi="Tahoma" w:cs="Tahoma"/>
      <w:shd w:val="clear" w:color="auto" w:fill="000080"/>
    </w:rPr>
  </w:style>
  <w:style w:type="paragraph" w:styleId="aff3">
    <w:name w:val="Document Map"/>
    <w:basedOn w:val="a"/>
    <w:link w:val="aff2"/>
    <w:uiPriority w:val="99"/>
    <w:rsid w:val="000D43C9"/>
    <w:pPr>
      <w:shd w:val="clear" w:color="auto" w:fill="000080"/>
      <w:autoSpaceDE w:val="0"/>
      <w:autoSpaceDN w:val="0"/>
      <w:spacing w:after="0" w:line="240" w:lineRule="auto"/>
    </w:pPr>
    <w:rPr>
      <w:rFonts w:ascii="Tahoma" w:hAnsi="Tahoma" w:cs="Tahoma"/>
    </w:rPr>
  </w:style>
  <w:style w:type="character" w:customStyle="1" w:styleId="15">
    <w:name w:val="Схема документа Знак1"/>
    <w:basedOn w:val="a0"/>
    <w:rsid w:val="000D43C9"/>
    <w:rPr>
      <w:rFonts w:ascii="Segoe UI" w:hAnsi="Segoe UI" w:cs="Segoe UI"/>
      <w:sz w:val="16"/>
      <w:szCs w:val="16"/>
    </w:rPr>
  </w:style>
  <w:style w:type="paragraph" w:customStyle="1" w:styleId="ConsNonformat">
    <w:name w:val="ConsNonformat"/>
    <w:uiPriority w:val="99"/>
    <w:rsid w:val="000D43C9"/>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uiPriority w:val="99"/>
    <w:rsid w:val="000D43C9"/>
    <w:pPr>
      <w:widowControl w:val="0"/>
      <w:autoSpaceDE w:val="0"/>
      <w:autoSpaceDN w:val="0"/>
      <w:spacing w:after="0" w:line="240" w:lineRule="auto"/>
      <w:ind w:right="19772"/>
    </w:pPr>
    <w:rPr>
      <w:rFonts w:ascii="Arial" w:eastAsia="Times New Roman" w:hAnsi="Arial" w:cs="Arial"/>
      <w:sz w:val="20"/>
      <w:szCs w:val="20"/>
      <w:lang w:eastAsia="ru-RU"/>
    </w:rPr>
  </w:style>
  <w:style w:type="paragraph" w:customStyle="1" w:styleId="ConsPlusNonformat">
    <w:name w:val="ConsPlusNonformat"/>
    <w:uiPriority w:val="99"/>
    <w:rsid w:val="000D43C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0D43C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4">
    <w:name w:val="Normal (Web)"/>
    <w:basedOn w:val="a"/>
    <w:uiPriority w:val="99"/>
    <w:unhideWhenUsed/>
    <w:rsid w:val="000D43C9"/>
    <w:pPr>
      <w:spacing w:before="288" w:after="288" w:line="240" w:lineRule="auto"/>
    </w:pPr>
    <w:rPr>
      <w:rFonts w:ascii="Times New Roman" w:eastAsia="Times New Roman" w:hAnsi="Times New Roman" w:cs="Times New Roman"/>
      <w:sz w:val="24"/>
      <w:szCs w:val="24"/>
      <w:lang w:eastAsia="ru-RU"/>
    </w:rPr>
  </w:style>
  <w:style w:type="paragraph" w:styleId="16">
    <w:name w:val="index 1"/>
    <w:basedOn w:val="a"/>
    <w:next w:val="a"/>
    <w:autoRedefine/>
    <w:rsid w:val="000D43C9"/>
    <w:pPr>
      <w:spacing w:after="0" w:line="240" w:lineRule="auto"/>
      <w:ind w:left="-47" w:right="46"/>
    </w:pPr>
    <w:rPr>
      <w:rFonts w:ascii="Arial" w:eastAsia="Times New Roman" w:hAnsi="Arial" w:cs="Arial"/>
      <w:bCs/>
      <w:i/>
      <w:sz w:val="18"/>
      <w:szCs w:val="18"/>
      <w:lang w:eastAsia="ru-RU"/>
    </w:rPr>
  </w:style>
  <w:style w:type="paragraph" w:customStyle="1" w:styleId="Tabletext">
    <w:name w:val="Table text"/>
    <w:basedOn w:val="a"/>
    <w:qFormat/>
    <w:rsid w:val="000D43C9"/>
    <w:pPr>
      <w:spacing w:after="0" w:line="240" w:lineRule="auto"/>
      <w:ind w:left="85" w:hanging="85"/>
    </w:pPr>
    <w:rPr>
      <w:rFonts w:ascii="Arial" w:eastAsia="Times New Roman" w:hAnsi="Arial" w:cs="Arial"/>
      <w:sz w:val="18"/>
      <w:szCs w:val="18"/>
      <w:lang w:val="en-GB" w:eastAsia="ru-RU"/>
    </w:rPr>
  </w:style>
  <w:style w:type="paragraph" w:customStyle="1" w:styleId="Columnheader">
    <w:name w:val="Column header"/>
    <w:basedOn w:val="a"/>
    <w:rsid w:val="000D43C9"/>
    <w:pPr>
      <w:tabs>
        <w:tab w:val="decimal" w:pos="1503"/>
      </w:tabs>
      <w:spacing w:after="0" w:line="228" w:lineRule="auto"/>
      <w:ind w:right="-56"/>
    </w:pPr>
    <w:rPr>
      <w:rFonts w:ascii="Arial" w:eastAsia="Times New Roman" w:hAnsi="Arial" w:cs="Arial"/>
      <w:b/>
      <w:bCs/>
      <w:sz w:val="18"/>
      <w:szCs w:val="18"/>
      <w:lang w:val="en-GB" w:eastAsia="ru-RU"/>
    </w:rPr>
  </w:style>
  <w:style w:type="paragraph" w:customStyle="1" w:styleId="Tablenumbers1">
    <w:name w:val="Table numbers1"/>
    <w:rsid w:val="000D43C9"/>
    <w:pPr>
      <w:tabs>
        <w:tab w:val="decimal" w:pos="1503"/>
      </w:tabs>
      <w:spacing w:after="0" w:line="240" w:lineRule="auto"/>
      <w:ind w:right="-56"/>
    </w:pPr>
    <w:rPr>
      <w:rFonts w:ascii="Arial" w:eastAsia="Times New Roman" w:hAnsi="Arial" w:cs="Arial"/>
      <w:sz w:val="18"/>
      <w:szCs w:val="18"/>
      <w:lang w:val="en-GB" w:eastAsia="ru-RU"/>
    </w:rPr>
  </w:style>
  <w:style w:type="paragraph" w:customStyle="1" w:styleId="RRthousands">
    <w:name w:val="RR thousands"/>
    <w:basedOn w:val="a"/>
    <w:link w:val="RRthousandsChar"/>
    <w:rsid w:val="000D43C9"/>
    <w:pPr>
      <w:spacing w:after="0" w:line="240" w:lineRule="auto"/>
      <w:ind w:left="86" w:hanging="86"/>
    </w:pPr>
    <w:rPr>
      <w:rFonts w:ascii="Arial" w:eastAsia="Times New Roman" w:hAnsi="Arial" w:cs="Times New Roman"/>
      <w:i/>
      <w:iCs/>
      <w:sz w:val="16"/>
      <w:szCs w:val="16"/>
      <w:lang w:val="en-GB" w:eastAsia="ru-RU"/>
    </w:rPr>
  </w:style>
  <w:style w:type="paragraph" w:styleId="aff5">
    <w:name w:val="Revision"/>
    <w:hidden/>
    <w:uiPriority w:val="99"/>
    <w:semiHidden/>
    <w:rsid w:val="000D43C9"/>
    <w:pPr>
      <w:spacing w:after="0" w:line="240" w:lineRule="auto"/>
    </w:pPr>
    <w:rPr>
      <w:rFonts w:ascii="Arial" w:eastAsia="Calibri" w:hAnsi="Arial" w:cs="Times New Roman"/>
      <w:sz w:val="24"/>
    </w:rPr>
  </w:style>
  <w:style w:type="character" w:customStyle="1" w:styleId="file1">
    <w:name w:val="file1"/>
    <w:rsid w:val="000D43C9"/>
    <w:rPr>
      <w:color w:val="767676"/>
    </w:rPr>
  </w:style>
  <w:style w:type="paragraph" w:styleId="25">
    <w:name w:val="Body Text Indent 2"/>
    <w:basedOn w:val="a"/>
    <w:link w:val="26"/>
    <w:rsid w:val="000D43C9"/>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0D43C9"/>
    <w:rPr>
      <w:rFonts w:ascii="Times New Roman" w:eastAsia="Times New Roman" w:hAnsi="Times New Roman" w:cs="Times New Roman"/>
      <w:sz w:val="24"/>
      <w:szCs w:val="24"/>
      <w:lang w:eastAsia="ru-RU"/>
    </w:rPr>
  </w:style>
  <w:style w:type="paragraph" w:customStyle="1" w:styleId="Header1">
    <w:name w:val="Header1"/>
    <w:rsid w:val="000D43C9"/>
    <w:pPr>
      <w:tabs>
        <w:tab w:val="left" w:pos="-528"/>
      </w:tabs>
      <w:spacing w:after="0" w:line="240" w:lineRule="auto"/>
    </w:pPr>
    <w:rPr>
      <w:rFonts w:ascii="Arial" w:eastAsia="Times New Roman" w:hAnsi="Arial" w:cs="Arial"/>
      <w:b/>
      <w:bCs/>
      <w:i/>
      <w:iCs/>
      <w:sz w:val="20"/>
      <w:szCs w:val="20"/>
      <w:lang w:val="en-GB" w:eastAsia="ru-RU"/>
    </w:rPr>
  </w:style>
  <w:style w:type="paragraph" w:customStyle="1" w:styleId="1stpage">
    <w:name w:val="1st page"/>
    <w:basedOn w:val="ABC-paragrahinNotes"/>
    <w:uiPriority w:val="99"/>
    <w:rsid w:val="000D43C9"/>
    <w:pPr>
      <w:spacing w:after="0"/>
    </w:pPr>
    <w:rPr>
      <w:b/>
      <w:bCs/>
      <w:sz w:val="32"/>
      <w:szCs w:val="32"/>
    </w:rPr>
  </w:style>
  <w:style w:type="paragraph" w:customStyle="1" w:styleId="PwCAddress">
    <w:name w:val="PwC Address"/>
    <w:basedOn w:val="a"/>
    <w:link w:val="PwCAddressChar"/>
    <w:qFormat/>
    <w:rsid w:val="000D43C9"/>
    <w:pPr>
      <w:spacing w:after="0" w:line="200" w:lineRule="atLeast"/>
    </w:pPr>
    <w:rPr>
      <w:rFonts w:ascii="Georgia" w:eastAsia="Calibri" w:hAnsi="Georgia" w:cs="Times New Roman"/>
      <w:i/>
      <w:noProof/>
      <w:sz w:val="18"/>
      <w:lang w:val="en-GB" w:eastAsia="en-GB"/>
    </w:rPr>
  </w:style>
  <w:style w:type="character" w:customStyle="1" w:styleId="PwCAddressChar">
    <w:name w:val="PwC Address Char"/>
    <w:link w:val="PwCAddress"/>
    <w:rsid w:val="000D43C9"/>
    <w:rPr>
      <w:rFonts w:ascii="Georgia" w:eastAsia="Calibri" w:hAnsi="Georgia" w:cs="Times New Roman"/>
      <w:i/>
      <w:noProof/>
      <w:sz w:val="18"/>
      <w:lang w:val="en-GB" w:eastAsia="en-GB"/>
    </w:rPr>
  </w:style>
  <w:style w:type="paragraph" w:customStyle="1" w:styleId="Name">
    <w:name w:val="Name"/>
    <w:rsid w:val="000D43C9"/>
    <w:pPr>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spacing w:after="0" w:line="240" w:lineRule="auto"/>
      <w:jc w:val="both"/>
    </w:pPr>
    <w:rPr>
      <w:rFonts w:ascii="Arial" w:eastAsia="Times New Roman" w:hAnsi="Arial" w:cs="Arial"/>
      <w:b/>
      <w:bCs/>
      <w:smallCaps/>
      <w:spacing w:val="-2"/>
      <w:lang w:val="en-GB" w:eastAsia="ru-RU"/>
    </w:rPr>
  </w:style>
  <w:style w:type="paragraph" w:customStyle="1" w:styleId="Report">
    <w:name w:val="Report"/>
    <w:rsid w:val="000D43C9"/>
    <w:pPr>
      <w:numPr>
        <w:numId w:val="3"/>
      </w:numPr>
      <w:spacing w:after="240" w:line="240" w:lineRule="auto"/>
      <w:jc w:val="both"/>
    </w:pPr>
    <w:rPr>
      <w:rFonts w:ascii="Arial" w:eastAsia="Times New Roman" w:hAnsi="Arial" w:cs="Arial"/>
      <w:sz w:val="20"/>
      <w:szCs w:val="20"/>
      <w:lang w:val="en-GB" w:eastAsia="ru-RU"/>
    </w:rPr>
  </w:style>
  <w:style w:type="paragraph" w:customStyle="1" w:styleId="StyleABC-paragrahinNotesAfter10pt">
    <w:name w:val="Style ABC - paragrah in Notes + After:  10 pt"/>
    <w:basedOn w:val="ABC-paragrahinNotes"/>
    <w:rsid w:val="000D43C9"/>
    <w:pPr>
      <w:spacing w:after="200"/>
    </w:pPr>
    <w:rPr>
      <w:sz w:val="18"/>
      <w:szCs w:val="18"/>
    </w:rPr>
  </w:style>
  <w:style w:type="paragraph" w:customStyle="1" w:styleId="27">
    <w:name w:val="Стиль2"/>
    <w:basedOn w:val="ConsNonformat"/>
    <w:qFormat/>
    <w:rsid w:val="000D43C9"/>
    <w:pPr>
      <w:widowControl/>
      <w:spacing w:line="240" w:lineRule="exact"/>
      <w:ind w:left="2832" w:right="0"/>
      <w:outlineLvl w:val="0"/>
    </w:pPr>
    <w:rPr>
      <w:rFonts w:ascii="Arial" w:hAnsi="Arial" w:cs="Arial"/>
      <w:b/>
      <w:bCs/>
      <w:sz w:val="22"/>
      <w:szCs w:val="24"/>
    </w:rPr>
  </w:style>
  <w:style w:type="paragraph" w:customStyle="1" w:styleId="Continued">
    <w:name w:val="Continued"/>
    <w:rsid w:val="000D43C9"/>
    <w:pPr>
      <w:keepNext/>
      <w:keepLines/>
      <w:pageBreakBefore/>
      <w:tabs>
        <w:tab w:val="left" w:pos="567"/>
      </w:tabs>
      <w:spacing w:after="240" w:line="240" w:lineRule="auto"/>
      <w:ind w:left="567" w:hanging="567"/>
    </w:pPr>
    <w:rPr>
      <w:rFonts w:ascii="Arial" w:eastAsia="Times New Roman" w:hAnsi="Arial" w:cs="Arial"/>
      <w:b/>
      <w:bCs/>
      <w:sz w:val="20"/>
      <w:szCs w:val="20"/>
      <w:lang w:val="en-US" w:eastAsia="ru-RU"/>
    </w:rPr>
  </w:style>
  <w:style w:type="character" w:customStyle="1" w:styleId="afe">
    <w:name w:val="Абзац списка Знак"/>
    <w:link w:val="afd"/>
    <w:uiPriority w:val="34"/>
    <w:rsid w:val="000D43C9"/>
    <w:rPr>
      <w:rFonts w:ascii="Times New Roman" w:eastAsia="Times New Roman" w:hAnsi="Times New Roman" w:cs="Times New Roman"/>
      <w:sz w:val="24"/>
      <w:szCs w:val="24"/>
      <w:lang w:eastAsia="ru-RU"/>
    </w:rPr>
  </w:style>
  <w:style w:type="paragraph" w:customStyle="1" w:styleId="Rowheader">
    <w:name w:val="Row header"/>
    <w:basedOn w:val="a"/>
    <w:rsid w:val="000D43C9"/>
    <w:pPr>
      <w:spacing w:after="0" w:line="240" w:lineRule="auto"/>
      <w:ind w:left="85" w:hanging="85"/>
    </w:pPr>
    <w:rPr>
      <w:rFonts w:ascii="Arial" w:eastAsia="Times New Roman" w:hAnsi="Arial" w:cs="Arial"/>
      <w:b/>
      <w:bCs/>
      <w:sz w:val="18"/>
      <w:szCs w:val="18"/>
      <w:lang w:val="en-GB" w:eastAsia="ru-RU"/>
    </w:rPr>
  </w:style>
  <w:style w:type="paragraph" w:customStyle="1" w:styleId="ConsNormal">
    <w:name w:val="ConsNormal"/>
    <w:rsid w:val="000D43C9"/>
    <w:pPr>
      <w:spacing w:after="0" w:line="240" w:lineRule="auto"/>
      <w:ind w:firstLine="720"/>
    </w:pPr>
    <w:rPr>
      <w:rFonts w:ascii="Consultant" w:eastAsia="Times New Roman" w:hAnsi="Consultant" w:cs="Times New Roman"/>
      <w:snapToGrid w:val="0"/>
      <w:szCs w:val="20"/>
      <w:lang w:eastAsia="ru-RU"/>
    </w:rPr>
  </w:style>
  <w:style w:type="paragraph" w:customStyle="1" w:styleId="ConsTitle">
    <w:name w:val="ConsTitle"/>
    <w:rsid w:val="000D43C9"/>
    <w:pPr>
      <w:autoSpaceDE w:val="0"/>
      <w:autoSpaceDN w:val="0"/>
      <w:adjustRightInd w:val="0"/>
      <w:spacing w:after="0" w:line="240" w:lineRule="auto"/>
    </w:pPr>
    <w:rPr>
      <w:rFonts w:ascii="Arial" w:eastAsia="Times New Roman" w:hAnsi="Arial" w:cs="Arial"/>
      <w:b/>
      <w:bCs/>
      <w:sz w:val="16"/>
      <w:szCs w:val="16"/>
      <w:lang w:eastAsia="ru-RU"/>
    </w:rPr>
  </w:style>
  <w:style w:type="character" w:styleId="aff6">
    <w:name w:val="Emphasis"/>
    <w:uiPriority w:val="99"/>
    <w:qFormat/>
    <w:rsid w:val="000D43C9"/>
    <w:rPr>
      <w:rFonts w:cs="Times New Roman"/>
      <w:i/>
      <w:iCs/>
    </w:rPr>
  </w:style>
  <w:style w:type="character" w:styleId="aff7">
    <w:name w:val="FollowedHyperlink"/>
    <w:uiPriority w:val="99"/>
    <w:unhideWhenUsed/>
    <w:rsid w:val="000D43C9"/>
    <w:rPr>
      <w:color w:val="800080"/>
      <w:u w:val="single"/>
    </w:rPr>
  </w:style>
  <w:style w:type="paragraph" w:customStyle="1" w:styleId="s1">
    <w:name w:val="s_1"/>
    <w:basedOn w:val="a"/>
    <w:rsid w:val="000D43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0D43C9"/>
  </w:style>
  <w:style w:type="character" w:customStyle="1" w:styleId="ABC-paragrahinNotesChar">
    <w:name w:val="ABC - paragrah in Notes Char"/>
    <w:link w:val="ABC-paragrahinNotes"/>
    <w:rsid w:val="000D43C9"/>
    <w:rPr>
      <w:rFonts w:ascii="Arial" w:eastAsia="Times New Roman" w:hAnsi="Arial" w:cs="Arial"/>
      <w:sz w:val="20"/>
      <w:szCs w:val="20"/>
      <w:lang w:val="en-GB" w:eastAsia="ru-RU"/>
    </w:rPr>
  </w:style>
  <w:style w:type="character" w:customStyle="1" w:styleId="ABC-paragrahinNotesChar1">
    <w:name w:val="ABC - paragrah in Notes Char1"/>
    <w:rsid w:val="000D43C9"/>
    <w:rPr>
      <w:rFonts w:ascii="Arial" w:hAnsi="Arial"/>
      <w:lang w:val="en-GB" w:eastAsia="en-US" w:bidi="ar-SA"/>
    </w:rPr>
  </w:style>
  <w:style w:type="character" w:customStyle="1" w:styleId="longtext">
    <w:name w:val="long_text"/>
    <w:basedOn w:val="a0"/>
    <w:rsid w:val="000D43C9"/>
  </w:style>
  <w:style w:type="character" w:customStyle="1" w:styleId="RRthousandsChar">
    <w:name w:val="RR thousands Char"/>
    <w:link w:val="RRthousands"/>
    <w:rsid w:val="000D43C9"/>
    <w:rPr>
      <w:rFonts w:ascii="Arial" w:eastAsia="Times New Roman" w:hAnsi="Arial" w:cs="Times New Roman"/>
      <w:i/>
      <w:iCs/>
      <w:sz w:val="16"/>
      <w:szCs w:val="16"/>
      <w:lang w:val="en-GB" w:eastAsia="ru-RU"/>
    </w:rPr>
  </w:style>
  <w:style w:type="paragraph" w:customStyle="1" w:styleId="ConsPlusTitle">
    <w:name w:val="ConsPlusTitle"/>
    <w:rsid w:val="000D43C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BC-Aftertable">
    <w:name w:val="ABC - After table"/>
    <w:next w:val="ABC-paragrahinNotes"/>
    <w:rsid w:val="000D43C9"/>
    <w:pPr>
      <w:spacing w:before="240" w:after="240" w:line="240" w:lineRule="auto"/>
    </w:pPr>
    <w:rPr>
      <w:rFonts w:ascii="Arial" w:eastAsia="Times New Roman" w:hAnsi="Arial" w:cs="Times New Roman"/>
      <w:noProof/>
      <w:sz w:val="18"/>
      <w:szCs w:val="20"/>
    </w:rPr>
  </w:style>
  <w:style w:type="paragraph" w:customStyle="1" w:styleId="roman2">
    <w:name w:val="roman 2"/>
    <w:basedOn w:val="a"/>
    <w:rsid w:val="000D43C9"/>
    <w:pPr>
      <w:numPr>
        <w:numId w:val="7"/>
      </w:numPr>
      <w:spacing w:after="140" w:line="290" w:lineRule="auto"/>
      <w:jc w:val="both"/>
    </w:pPr>
    <w:rPr>
      <w:rFonts w:ascii="Arial" w:eastAsia="MS Mincho" w:hAnsi="Arial" w:cs="Times New Roman"/>
      <w:kern w:val="20"/>
      <w:sz w:val="20"/>
      <w:szCs w:val="20"/>
      <w:lang w:val="en-GB"/>
    </w:rPr>
  </w:style>
  <w:style w:type="paragraph" w:customStyle="1" w:styleId="17">
    <w:name w:val="Обычный1"/>
    <w:uiPriority w:val="99"/>
    <w:rsid w:val="000D43C9"/>
    <w:pPr>
      <w:spacing w:after="200" w:line="276" w:lineRule="auto"/>
    </w:pPr>
    <w:rPr>
      <w:rFonts w:ascii="Calibri" w:eastAsia="Calibri" w:hAnsi="Calibri" w:cs="Calibri"/>
      <w:color w:val="000000"/>
      <w:lang w:eastAsia="ru-RU"/>
    </w:rPr>
  </w:style>
  <w:style w:type="character" w:styleId="aff8">
    <w:name w:val="page number"/>
    <w:uiPriority w:val="99"/>
    <w:rsid w:val="000D43C9"/>
    <w:rPr>
      <w:rFonts w:cs="Times New Roman"/>
    </w:rPr>
  </w:style>
  <w:style w:type="table" w:customStyle="1" w:styleId="41">
    <w:name w:val="Сетка таблицы4"/>
    <w:basedOn w:val="a1"/>
    <w:next w:val="a4"/>
    <w:uiPriority w:val="59"/>
    <w:rsid w:val="000D43C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59"/>
    <w:rsid w:val="000D43C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9421</Words>
  <Characters>53703</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 Levin</dc:creator>
  <cp:keywords/>
  <dc:description/>
  <cp:lastModifiedBy>Konstantin Levin</cp:lastModifiedBy>
  <cp:revision>3</cp:revision>
  <cp:lastPrinted>2018-05-15T12:45:00Z</cp:lastPrinted>
  <dcterms:created xsi:type="dcterms:W3CDTF">2018-05-15T15:20:00Z</dcterms:created>
  <dcterms:modified xsi:type="dcterms:W3CDTF">2018-05-15T15:45:00Z</dcterms:modified>
</cp:coreProperties>
</file>